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2" w:hanging="422" w:hangingChars="200"/>
        <w:rPr>
          <w:rFonts w:asciiTheme="minorEastAsia" w:hAnsiTheme="minorEastAsia" w:eastAsiaTheme="minorEastAsia"/>
          <w:b/>
          <w:bCs/>
        </w:rPr>
      </w:pPr>
    </w:p>
    <w:p>
      <w:pPr>
        <w:pStyle w:val="7"/>
        <w:rPr>
          <w:rFonts w:asciiTheme="minorEastAsia" w:hAnsiTheme="minorEastAsia" w:eastAsiaTheme="minorEastAsia"/>
          <w:sz w:val="24"/>
        </w:rPr>
      </w:pPr>
      <w:r>
        <w:drawing>
          <wp:inline distT="0" distB="0" distL="114300" distR="114300">
            <wp:extent cx="3267075" cy="895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267075" cy="895350"/>
                    </a:xfrm>
                    <a:prstGeom prst="rect">
                      <a:avLst/>
                    </a:prstGeom>
                    <a:noFill/>
                    <a:ln>
                      <a:noFill/>
                    </a:ln>
                  </pic:spPr>
                </pic:pic>
              </a:graphicData>
            </a:graphic>
          </wp:inline>
        </w:drawing>
      </w:r>
    </w:p>
    <w:p>
      <w:pPr>
        <w:spacing w:line="240" w:lineRule="auto"/>
        <w:jc w:val="center"/>
        <w:rPr>
          <w:rFonts w:asciiTheme="minorEastAsia" w:hAnsiTheme="minorEastAsia" w:eastAsiaTheme="minorEastAsia"/>
          <w:b/>
          <w:bCs/>
          <w:sz w:val="30"/>
          <w:szCs w:val="30"/>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ind w:firstLine="851" w:firstLineChars="265"/>
        <w:rPr>
          <w:rFonts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eastAsia="zh-CN"/>
        </w:rPr>
        <w:t>益阳市妇幼保健院</w:t>
      </w:r>
    </w:p>
    <w:p>
      <w:pPr>
        <w:ind w:firstLine="1928" w:firstLineChars="600"/>
        <w:jc w:val="both"/>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eastAsia="zh-CN"/>
        </w:rPr>
        <w:t>视频喉镜采</w:t>
      </w:r>
      <w:r>
        <w:rPr>
          <w:rFonts w:hint="eastAsia" w:asciiTheme="minorEastAsia" w:hAnsiTheme="minorEastAsia" w:eastAsiaTheme="minorEastAsia"/>
          <w:b/>
          <w:bCs/>
          <w:sz w:val="32"/>
          <w:szCs w:val="32"/>
        </w:rPr>
        <w:t>购项目</w:t>
      </w:r>
      <w:r>
        <w:rPr>
          <w:rFonts w:hint="eastAsia" w:asciiTheme="minorEastAsia" w:hAnsiTheme="minorEastAsia" w:eastAsiaTheme="minorEastAsia"/>
          <w:b/>
          <w:bCs/>
          <w:sz w:val="32"/>
          <w:szCs w:val="32"/>
          <w:lang w:val="en-US" w:eastAsia="zh-CN"/>
        </w:rPr>
        <w:t>(第二次)</w:t>
      </w:r>
    </w:p>
    <w:p>
      <w:pPr>
        <w:spacing w:line="200" w:lineRule="atLeast"/>
        <w:ind w:firstLine="851" w:firstLineChars="265"/>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val="en-US" w:eastAsia="zh-CN"/>
        </w:rPr>
        <w:t xml:space="preserve"> yyfby20210611</w:t>
      </w: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 xml:space="preserve"> </w:t>
      </w: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二○二</w:t>
      </w:r>
      <w:r>
        <w:rPr>
          <w:rFonts w:hint="eastAsia" w:asciiTheme="minorEastAsia" w:hAnsiTheme="minorEastAsia" w:eastAsiaTheme="minorEastAsia"/>
          <w:b/>
          <w:bCs/>
          <w:sz w:val="32"/>
          <w:szCs w:val="32"/>
          <w:lang w:eastAsia="zh-CN"/>
        </w:rPr>
        <w:t>一</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eastAsia="zh-CN"/>
        </w:rPr>
        <w:t>六</w:t>
      </w:r>
      <w:r>
        <w:rPr>
          <w:rFonts w:hint="eastAsia" w:asciiTheme="minorEastAsia" w:hAnsiTheme="minorEastAsia" w:eastAsiaTheme="minorEastAsia"/>
          <w:b/>
          <w:bCs/>
          <w:sz w:val="32"/>
          <w:szCs w:val="32"/>
        </w:rPr>
        <w:t>月</w:t>
      </w:r>
    </w:p>
    <w:p>
      <w:pPr>
        <w:pStyle w:val="16"/>
        <w:jc w:val="center"/>
        <w:rPr>
          <w:rFonts w:asciiTheme="minorEastAsia" w:hAnsiTheme="minorEastAsia" w:eastAsiaTheme="minorEastAsia"/>
          <w:b/>
          <w:sz w:val="32"/>
          <w:szCs w:val="32"/>
        </w:rPr>
        <w:sectPr>
          <w:headerReference r:id="rId5" w:type="default"/>
          <w:footerReference r:id="rId6"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1"/>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2"/>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2"/>
          <w:rFonts w:hint="eastAsia" w:asciiTheme="minorEastAsia" w:hAnsiTheme="minorEastAsia" w:eastAsiaTheme="minorEastAsia"/>
          <w:sz w:val="28"/>
          <w:szCs w:val="24"/>
        </w:rPr>
        <w:t>第一章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2"/>
          <w:rFonts w:hint="eastAsia" w:asciiTheme="minorEastAsia" w:hAnsiTheme="minorEastAsia" w:eastAsiaTheme="minorEastAsia"/>
          <w:sz w:val="28"/>
          <w:szCs w:val="24"/>
        </w:rPr>
        <w:t>第二章 采购需求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2"/>
          <w:rFonts w:hint="eastAsia" w:asciiTheme="minorEastAsia" w:hAnsiTheme="minorEastAsia" w:eastAsiaTheme="minorEastAsia"/>
          <w:sz w:val="28"/>
          <w:szCs w:val="24"/>
        </w:rPr>
        <w:t>第三章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"_Toc531213464" </w:instrText>
      </w:r>
      <w:r>
        <w:fldChar w:fldCharType="separate"/>
      </w:r>
      <w:r>
        <w:rPr>
          <w:rStyle w:val="32"/>
          <w:rFonts w:asciiTheme="minorEastAsia" w:hAnsiTheme="minorEastAsia" w:eastAsiaTheme="minorEastAsia"/>
          <w:sz w:val="28"/>
          <w:szCs w:val="28"/>
        </w:rPr>
        <w:t>1</w:t>
      </w:r>
      <w:r>
        <w:rPr>
          <w:rStyle w:val="32"/>
          <w:rFonts w:hint="eastAsia" w:asciiTheme="minorEastAsia" w:hAnsiTheme="minorEastAsia" w:eastAsiaTheme="minorEastAsia"/>
          <w:sz w:val="28"/>
          <w:szCs w:val="28"/>
        </w:rPr>
        <w:t>、响应函格式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"_Toc531213465" </w:instrText>
      </w:r>
      <w:r>
        <w:fldChar w:fldCharType="separate"/>
      </w:r>
      <w:r>
        <w:rPr>
          <w:rStyle w:val="32"/>
          <w:rFonts w:asciiTheme="minorEastAsia" w:hAnsiTheme="minorEastAsia" w:eastAsiaTheme="minorEastAsia"/>
          <w:sz w:val="28"/>
          <w:szCs w:val="28"/>
        </w:rPr>
        <w:t>2</w:t>
      </w:r>
      <w:r>
        <w:rPr>
          <w:rStyle w:val="32"/>
          <w:rFonts w:hint="eastAsia" w:asciiTheme="minorEastAsia" w:hAnsiTheme="minorEastAsia" w:eastAsiaTheme="minorEastAsia"/>
          <w:sz w:val="28"/>
          <w:szCs w:val="28"/>
        </w:rPr>
        <w:t>、报价一览表格式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"_Toc531213468" </w:instrText>
      </w:r>
      <w:r>
        <w:fldChar w:fldCharType="separate"/>
      </w:r>
      <w:r>
        <w:rPr>
          <w:rFonts w:hint="eastAsia"/>
          <w:sz w:val="28"/>
          <w:szCs w:val="28"/>
        </w:rPr>
        <w:t>3</w:t>
      </w:r>
      <w:r>
        <w:rPr>
          <w:rStyle w:val="32"/>
          <w:rFonts w:hint="eastAsia" w:asciiTheme="minorEastAsia" w:hAnsiTheme="minorEastAsia" w:eastAsiaTheme="minorEastAsia"/>
          <w:sz w:val="28"/>
          <w:szCs w:val="28"/>
        </w:rPr>
        <w:t>、技术要求偏离表格式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"_Toc531213469" </w:instrText>
      </w:r>
      <w:r>
        <w:fldChar w:fldCharType="separate"/>
      </w:r>
      <w:r>
        <w:rPr>
          <w:rFonts w:hint="eastAsia"/>
          <w:sz w:val="28"/>
          <w:szCs w:val="28"/>
        </w:rPr>
        <w:t>4</w:t>
      </w:r>
      <w:r>
        <w:rPr>
          <w:rStyle w:val="32"/>
          <w:rFonts w:hint="eastAsia" w:asciiTheme="minorEastAsia" w:hAnsiTheme="minorEastAsia" w:eastAsiaTheme="minorEastAsia"/>
          <w:sz w:val="28"/>
          <w:szCs w:val="28"/>
        </w:rPr>
        <w:t>、法定代表人身份证明、法定代表人授权委托书、营业执照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"_Toc531213470" </w:instrText>
      </w:r>
      <w:r>
        <w:fldChar w:fldCharType="separate"/>
      </w:r>
      <w:r>
        <w:rPr>
          <w:rFonts w:hint="eastAsia"/>
          <w:sz w:val="28"/>
          <w:szCs w:val="28"/>
        </w:rPr>
        <w:t>5</w:t>
      </w:r>
      <w:r>
        <w:rPr>
          <w:rStyle w:val="32"/>
          <w:rFonts w:hint="eastAsia" w:asciiTheme="minorEastAsia" w:hAnsiTheme="minorEastAsia" w:eastAsiaTheme="minorEastAsia"/>
          <w:sz w:val="28"/>
          <w:szCs w:val="28"/>
        </w:rPr>
        <w:t>、伴随服务承诺书</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"_Toc531213471" </w:instrText>
      </w:r>
      <w:r>
        <w:fldChar w:fldCharType="separate"/>
      </w:r>
      <w:r>
        <w:rPr>
          <w:rFonts w:hint="eastAsia"/>
          <w:sz w:val="28"/>
          <w:szCs w:val="28"/>
        </w:rPr>
        <w:t>6</w:t>
      </w:r>
      <w:r>
        <w:rPr>
          <w:rStyle w:val="32"/>
          <w:rFonts w:hint="eastAsia" w:asciiTheme="minorEastAsia" w:hAnsiTheme="minorEastAsia" w:eastAsiaTheme="minorEastAsia"/>
          <w:sz w:val="28"/>
          <w:szCs w:val="28"/>
        </w:rPr>
        <w:t>、主要用户、业绩表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"_Toc531213472" </w:instrText>
      </w:r>
      <w:r>
        <w:fldChar w:fldCharType="separate"/>
      </w:r>
      <w:r>
        <w:rPr>
          <w:rFonts w:hint="eastAsia"/>
          <w:sz w:val="28"/>
          <w:szCs w:val="28"/>
        </w:rPr>
        <w:t>7</w:t>
      </w:r>
      <w:r>
        <w:rPr>
          <w:rStyle w:val="32"/>
          <w:rFonts w:hint="eastAsia" w:asciiTheme="minorEastAsia" w:hAnsiTheme="minorEastAsia" w:eastAsiaTheme="minorEastAsia"/>
          <w:sz w:val="28"/>
          <w:szCs w:val="28"/>
        </w:rPr>
        <w:t>、货物响应性技术资料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1"/>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2"/>
          <w:rFonts w:hint="eastAsia" w:asciiTheme="minorEastAsia" w:hAnsiTheme="minorEastAsia" w:eastAsiaTheme="minorEastAsia"/>
          <w:sz w:val="28"/>
          <w:szCs w:val="24"/>
        </w:rPr>
        <w:t>第四章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16</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sectPr>
          <w:headerReference r:id="rId7" w:type="default"/>
          <w:footerReference r:id="rId8" w:type="default"/>
          <w:pgSz w:w="11906" w:h="16838"/>
          <w:pgMar w:top="1089" w:right="1191" w:bottom="1089" w:left="1474" w:header="851" w:footer="624" w:gutter="0"/>
          <w:pgNumType w:start="1"/>
          <w:cols w:space="720" w:num="1"/>
          <w:docGrid w:type="lines" w:linePitch="312" w:charSpace="0"/>
        </w:sect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pStyle w:val="2"/>
        <w:jc w:val="center"/>
        <w:rPr>
          <w:rFonts w:asciiTheme="minorEastAsia" w:hAnsiTheme="minorEastAsia" w:eastAsiaTheme="minorEastAsia"/>
          <w:w w:val="90"/>
        </w:rPr>
      </w:pPr>
      <w:bookmarkStart w:id="0" w:name="_Toc48791214"/>
      <w:bookmarkStart w:id="1" w:name="_Toc47261669"/>
      <w:bookmarkStart w:id="2" w:name="_Toc47262048"/>
      <w:bookmarkStart w:id="3" w:name="_Toc49019215"/>
      <w:bookmarkStart w:id="4" w:name="_Toc47261049"/>
      <w:bookmarkStart w:id="5" w:name="_Toc47418917"/>
      <w:bookmarkStart w:id="6" w:name="_Toc531213461"/>
      <w:bookmarkStart w:id="7" w:name="_Toc47261864"/>
      <w:bookmarkStart w:id="8" w:name="_Toc47418234"/>
      <w:bookmarkStart w:id="9" w:name="_Toc48995830"/>
      <w:bookmarkStart w:id="10" w:name="_Toc47418710"/>
      <w:r>
        <w:rPr>
          <w:rFonts w:hint="eastAsia" w:asciiTheme="minorEastAsia" w:hAnsiTheme="minorEastAsia" w:eastAsiaTheme="minorEastAsia"/>
          <w:b w:val="0"/>
          <w:bCs w:val="0"/>
        </w:rPr>
        <w:t xml:space="preserve">第一章  </w:t>
      </w:r>
      <w:bookmarkEnd w:id="0"/>
      <w:bookmarkEnd w:id="1"/>
      <w:bookmarkEnd w:id="2"/>
      <w:bookmarkEnd w:id="3"/>
      <w:bookmarkEnd w:id="4"/>
      <w:bookmarkEnd w:id="5"/>
      <w:bookmarkEnd w:id="6"/>
      <w:bookmarkEnd w:id="7"/>
      <w:bookmarkEnd w:id="8"/>
      <w:bookmarkEnd w:id="9"/>
      <w:bookmarkEnd w:id="10"/>
      <w:r>
        <w:rPr>
          <w:rFonts w:hint="eastAsia" w:asciiTheme="minorEastAsia" w:hAnsiTheme="minorEastAsia" w:eastAsiaTheme="minorEastAsia"/>
          <w:b w:val="0"/>
          <w:bCs w:val="0"/>
        </w:rPr>
        <w:t>采购公告</w:t>
      </w: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br w:type="page"/>
      </w:r>
    </w:p>
    <w:p>
      <w:pPr>
        <w:pStyle w:val="10"/>
        <w:snapToGrid w:val="0"/>
        <w:spacing w:line="380" w:lineRule="atLeast"/>
        <w:jc w:val="center"/>
        <w:rPr>
          <w:rFonts w:asciiTheme="minorEastAsia" w:hAnsiTheme="minorEastAsia" w:eastAsiaTheme="minorEastAsia"/>
          <w:bCs/>
          <w:w w:val="90"/>
          <w:sz w:val="32"/>
          <w:szCs w:val="32"/>
        </w:rPr>
      </w:pPr>
      <w:r>
        <w:rPr>
          <w:rFonts w:hint="eastAsia" w:asciiTheme="minorEastAsia" w:hAnsiTheme="minorEastAsia" w:eastAsiaTheme="minorEastAsia"/>
          <w:bCs/>
          <w:w w:val="90"/>
          <w:sz w:val="44"/>
          <w:szCs w:val="44"/>
        </w:rPr>
        <w:t>采购公告</w:t>
      </w:r>
    </w:p>
    <w:p>
      <w:pPr>
        <w:spacing w:line="312" w:lineRule="auto"/>
        <w:rPr>
          <w:rFonts w:asciiTheme="minorEastAsia" w:hAnsiTheme="minorEastAsia" w:eastAsiaTheme="minorEastAsia"/>
          <w:u w:val="single"/>
        </w:rPr>
      </w:pPr>
    </w:p>
    <w:p>
      <w:pPr>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现我院对下列货物进行公开采购，现邀请有意向的供应商参加。具体如下：</w:t>
      </w:r>
    </w:p>
    <w:p>
      <w:pPr>
        <w:spacing w:line="312" w:lineRule="auto"/>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1、采购内容： </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5"/>
        <w:gridCol w:w="3778"/>
        <w:gridCol w:w="159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778" w:type="dxa"/>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货物名称</w:t>
            </w:r>
          </w:p>
        </w:tc>
        <w:tc>
          <w:tcPr>
            <w:tcW w:w="1595" w:type="dxa"/>
            <w:vAlign w:val="center"/>
          </w:tcPr>
          <w:p>
            <w:pPr>
              <w:widowControl/>
              <w:spacing w:line="360" w:lineRule="exact"/>
              <w:jc w:val="center"/>
              <w:rPr>
                <w:rFonts w:asciiTheme="minorEastAsia" w:hAnsiTheme="minorEastAsia" w:eastAsiaTheme="minorEastAsia"/>
                <w:szCs w:val="21"/>
              </w:rPr>
            </w:pPr>
            <w:r>
              <w:rPr>
                <w:rFonts w:asciiTheme="minorEastAsia" w:hAnsiTheme="minorEastAsia" w:eastAsiaTheme="minorEastAsia"/>
                <w:szCs w:val="21"/>
              </w:rPr>
              <w:t>数量</w:t>
            </w:r>
          </w:p>
        </w:tc>
        <w:tc>
          <w:tcPr>
            <w:tcW w:w="1984"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778" w:type="dxa"/>
            <w:vAlign w:val="center"/>
          </w:tcPr>
          <w:p>
            <w:pPr>
              <w:jc w:val="both"/>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val="0"/>
                <w:bCs/>
                <w:sz w:val="21"/>
                <w:szCs w:val="21"/>
                <w:lang w:eastAsia="zh-CN"/>
              </w:rPr>
              <w:t>视频喉镜</w:t>
            </w:r>
          </w:p>
        </w:tc>
        <w:tc>
          <w:tcPr>
            <w:tcW w:w="1595" w:type="dxa"/>
            <w:vAlign w:val="center"/>
          </w:tcPr>
          <w:p>
            <w:pPr>
              <w:widowControl/>
              <w:spacing w:line="36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1套</w:t>
            </w:r>
          </w:p>
        </w:tc>
        <w:tc>
          <w:tcPr>
            <w:tcW w:w="1984" w:type="dxa"/>
            <w:vAlign w:val="center"/>
          </w:tcPr>
          <w:p>
            <w:pPr>
              <w:widowControl/>
              <w:spacing w:line="36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3778" w:type="dxa"/>
            <w:vAlign w:val="center"/>
          </w:tcPr>
          <w:p>
            <w:pPr>
              <w:spacing w:line="360" w:lineRule="auto"/>
              <w:jc w:val="both"/>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val="0"/>
                <w:bCs/>
                <w:sz w:val="21"/>
                <w:szCs w:val="21"/>
                <w:lang w:eastAsia="zh-CN"/>
              </w:rPr>
              <w:t>一次性喉镜片（适合临床的各种型号）</w:t>
            </w:r>
          </w:p>
        </w:tc>
        <w:tc>
          <w:tcPr>
            <w:tcW w:w="1595" w:type="dxa"/>
            <w:vAlign w:val="center"/>
          </w:tcPr>
          <w:p>
            <w:pPr>
              <w:widowControl/>
              <w:spacing w:line="36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片</w:t>
            </w:r>
          </w:p>
        </w:tc>
        <w:tc>
          <w:tcPr>
            <w:tcW w:w="1984" w:type="dxa"/>
            <w:vAlign w:val="center"/>
          </w:tcPr>
          <w:p>
            <w:pPr>
              <w:widowControl/>
              <w:spacing w:line="36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50.00</w:t>
            </w:r>
          </w:p>
        </w:tc>
      </w:tr>
    </w:tbl>
    <w:p>
      <w:pPr>
        <w:numPr>
          <w:ilvl w:val="0"/>
          <w:numId w:val="0"/>
        </w:numPr>
        <w:spacing w:line="440" w:lineRule="atLeast"/>
        <w:ind w:left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备注：本项目只确定一个中标人，投标人必须对以上设备进行投标，不可拆分，否则投标将被否决。</w:t>
      </w:r>
    </w:p>
    <w:p>
      <w:pPr>
        <w:numPr>
          <w:ilvl w:val="0"/>
          <w:numId w:val="0"/>
        </w:numPr>
        <w:spacing w:line="440" w:lineRule="atLeast"/>
        <w:ind w:left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1.1 </w:t>
      </w: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yyfby20210611</w:t>
      </w:r>
    </w:p>
    <w:p>
      <w:pPr>
        <w:numPr>
          <w:ilvl w:val="0"/>
          <w:numId w:val="0"/>
        </w:num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 xml:space="preserve">1.2 </w:t>
      </w:r>
      <w:r>
        <w:rPr>
          <w:rFonts w:hint="eastAsia" w:asciiTheme="minorEastAsia" w:hAnsiTheme="minorEastAsia" w:eastAsiaTheme="minorEastAsia"/>
          <w:szCs w:val="21"/>
        </w:rPr>
        <w:t>地点：</w:t>
      </w:r>
      <w:r>
        <w:rPr>
          <w:rFonts w:hint="eastAsia" w:asciiTheme="minorEastAsia" w:hAnsiTheme="minorEastAsia" w:eastAsiaTheme="minorEastAsia"/>
          <w:szCs w:val="21"/>
          <w:lang w:eastAsia="zh-CN"/>
        </w:rPr>
        <w:t>益阳市妇幼保健院</w:t>
      </w: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 交货时间：双方合同签订时具体约定</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2、资金来源：自筹资金</w:t>
      </w:r>
    </w:p>
    <w:p>
      <w:pPr>
        <w:spacing w:line="440" w:lineRule="atLeast"/>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3、资格要求：</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3.1 必须具备独立的法人资格，企业财务状况良好，</w:t>
      </w:r>
      <w:r>
        <w:rPr>
          <w:rFonts w:hint="eastAsia" w:asciiTheme="minorEastAsia" w:hAnsiTheme="minorEastAsia" w:eastAsiaTheme="minorEastAsia"/>
          <w:szCs w:val="21"/>
        </w:rPr>
        <w:t>具有</w:t>
      </w:r>
      <w:r>
        <w:rPr>
          <w:rFonts w:asciiTheme="minorEastAsia" w:hAnsiTheme="minorEastAsia" w:eastAsiaTheme="minorEastAsia"/>
          <w:szCs w:val="21"/>
        </w:rPr>
        <w:t>固定营业场所</w:t>
      </w:r>
      <w:r>
        <w:rPr>
          <w:rFonts w:hint="eastAsia" w:asciiTheme="minorEastAsia" w:hAnsiTheme="minorEastAsia" w:eastAsiaTheme="minorEastAsia"/>
          <w:szCs w:val="21"/>
        </w:rPr>
        <w:t>，</w:t>
      </w:r>
      <w:r>
        <w:rPr>
          <w:rFonts w:hint="eastAsia" w:ascii="宋体" w:hAnsi="宋体"/>
          <w:color w:val="000000"/>
          <w:szCs w:val="21"/>
        </w:rPr>
        <w:t>且许可范围涵盖本次采购范围</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3.2所投设备若纳入中华人民共和国医疗器械监督管理的，第一类医疗器械必须具备食品药品监督管理部门颁发的医疗器械备案凭证；第二、三类医疗器械必须具备食品药品监督管理部门颁发的医疗器械注册证。</w:t>
      </w:r>
      <w:r>
        <w:rPr>
          <w:rFonts w:hint="eastAsia" w:asciiTheme="minorEastAsia" w:hAnsiTheme="minorEastAsia" w:eastAsiaTheme="minorEastAsia"/>
          <w:szCs w:val="21"/>
          <w:lang w:eastAsia="zh-CN"/>
        </w:rPr>
        <w:t>注册证适应范围需与产品说明书一致。并提供产品技术要求纸质版。</w:t>
      </w:r>
    </w:p>
    <w:p>
      <w:pPr>
        <w:spacing w:line="360"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rPr>
        <w:t>3.3 具备食品药品监督管理部门颁发的相应医疗器械经营备案凭证（医疗器械经营许可证）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3.4 </w:t>
      </w:r>
      <w:r>
        <w:rPr>
          <w:rFonts w:asciiTheme="minorEastAsia" w:hAnsiTheme="minorEastAsia" w:eastAsiaTheme="minorEastAsia"/>
          <w:szCs w:val="21"/>
        </w:rPr>
        <w:t>单位负责人为同一人或者存在控股、管理关系的不同单位，不得同时</w:t>
      </w:r>
      <w:r>
        <w:rPr>
          <w:rFonts w:hint="eastAsia" w:asciiTheme="minorEastAsia" w:hAnsiTheme="minorEastAsia" w:eastAsiaTheme="minorEastAsia"/>
          <w:szCs w:val="21"/>
        </w:rPr>
        <w:t>对</w:t>
      </w:r>
      <w:r>
        <w:rPr>
          <w:rFonts w:asciiTheme="minorEastAsia" w:hAnsiTheme="minorEastAsia" w:eastAsiaTheme="minorEastAsia"/>
          <w:szCs w:val="21"/>
        </w:rPr>
        <w:t>本项目</w:t>
      </w:r>
      <w:r>
        <w:rPr>
          <w:rFonts w:hint="eastAsia" w:asciiTheme="minorEastAsia" w:hAnsiTheme="minorEastAsia" w:eastAsiaTheme="minorEastAsia"/>
          <w:szCs w:val="21"/>
        </w:rPr>
        <w:t>响应。</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5</w:t>
      </w:r>
      <w:r>
        <w:rPr>
          <w:rFonts w:asciiTheme="minorEastAsia" w:hAnsiTheme="minorEastAsia" w:eastAsiaTheme="minorEastAsia"/>
          <w:szCs w:val="21"/>
        </w:rPr>
        <w:t>与</w:t>
      </w:r>
      <w:r>
        <w:rPr>
          <w:rFonts w:hint="eastAsia" w:asciiTheme="minorEastAsia" w:hAnsiTheme="minorEastAsia" w:eastAsiaTheme="minorEastAsia"/>
          <w:szCs w:val="21"/>
        </w:rPr>
        <w:t>采购人</w:t>
      </w:r>
      <w:r>
        <w:rPr>
          <w:rFonts w:asciiTheme="minorEastAsia" w:hAnsiTheme="minorEastAsia" w:eastAsiaTheme="minorEastAsia"/>
          <w:szCs w:val="21"/>
        </w:rPr>
        <w:t>存在利害关系可能影响</w:t>
      </w:r>
      <w:r>
        <w:rPr>
          <w:rFonts w:hint="eastAsia" w:asciiTheme="minorEastAsia" w:hAnsiTheme="minorEastAsia" w:eastAsiaTheme="minorEastAsia"/>
          <w:szCs w:val="21"/>
        </w:rPr>
        <w:t>采购</w:t>
      </w:r>
      <w:r>
        <w:rPr>
          <w:rFonts w:asciiTheme="minorEastAsia" w:hAnsiTheme="minorEastAsia" w:eastAsiaTheme="minorEastAsia"/>
          <w:szCs w:val="21"/>
        </w:rPr>
        <w:t>公正性的法人、其他组织或者个人，不得</w:t>
      </w:r>
      <w:r>
        <w:rPr>
          <w:rFonts w:hint="eastAsia" w:asciiTheme="minorEastAsia" w:hAnsiTheme="minorEastAsia" w:eastAsiaTheme="minorEastAsia"/>
          <w:szCs w:val="21"/>
        </w:rPr>
        <w:t>响应。</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6 供应商</w:t>
      </w:r>
      <w:r>
        <w:rPr>
          <w:rFonts w:asciiTheme="minorEastAsia" w:hAnsiTheme="minorEastAsia" w:eastAsiaTheme="minorEastAsia"/>
          <w:szCs w:val="21"/>
        </w:rPr>
        <w:t>必须符合法律法规规定的其他条件</w:t>
      </w:r>
      <w:r>
        <w:rPr>
          <w:rFonts w:hint="eastAsia" w:asciiTheme="minorEastAsia" w:hAnsiTheme="minorEastAsia" w:eastAsiaTheme="minorEastAsia"/>
          <w:szCs w:val="21"/>
        </w:rPr>
        <w:t>。</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3.7  相关耗材需提供相应的医保耗材编码。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4、获取文件时间、地点：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 获取时间：欢迎对本项目感兴趣的供应商从</w:t>
      </w:r>
      <w:r>
        <w:rPr>
          <w:rFonts w:hint="eastAsia" w:asciiTheme="minorEastAsia" w:hAnsiTheme="minorEastAsia" w:eastAsiaTheme="minorEastAsia"/>
          <w:color w:val="000000"/>
          <w:szCs w:val="21"/>
          <w:lang w:val="en-US" w:eastAsia="zh-CN"/>
        </w:rPr>
        <w:t>2021</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lang w:val="en-US" w:eastAsia="zh-CN"/>
        </w:rPr>
        <w:t>6</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21</w:t>
      </w:r>
      <w:r>
        <w:rPr>
          <w:rFonts w:hint="eastAsia" w:asciiTheme="minorEastAsia" w:hAnsiTheme="minorEastAsia" w:eastAsiaTheme="minorEastAsia"/>
          <w:color w:val="000000"/>
          <w:szCs w:val="21"/>
        </w:rPr>
        <w:t>日至</w:t>
      </w:r>
      <w:r>
        <w:rPr>
          <w:rFonts w:hint="eastAsia" w:asciiTheme="minorEastAsia" w:hAnsiTheme="minorEastAsia" w:eastAsiaTheme="minorEastAsia"/>
          <w:color w:val="000000"/>
          <w:szCs w:val="21"/>
          <w:lang w:val="en-US" w:eastAsia="zh-CN"/>
        </w:rPr>
        <w:t>2021</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lang w:val="en-US" w:eastAsia="zh-CN"/>
        </w:rPr>
        <w:t>6</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23</w:t>
      </w:r>
      <w:r>
        <w:rPr>
          <w:rFonts w:hint="eastAsia" w:asciiTheme="minorEastAsia" w:hAnsiTheme="minorEastAsia" w:eastAsiaTheme="minorEastAsia"/>
          <w:color w:val="000000"/>
          <w:szCs w:val="21"/>
        </w:rPr>
        <w:t>日17:30（北京时间）获取采购文件。</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color w:val="000000"/>
          <w:szCs w:val="21"/>
        </w:rPr>
        <w:t>4.2 获取方式：</w:t>
      </w:r>
      <w:r>
        <w:rPr>
          <w:rFonts w:hint="eastAsia" w:asciiTheme="minorEastAsia" w:hAnsiTheme="minorEastAsia" w:eastAsiaTheme="minorEastAsia"/>
          <w:color w:val="000000"/>
          <w:szCs w:val="21"/>
          <w:lang w:eastAsia="zh-CN"/>
        </w:rPr>
        <w:t>携</w:t>
      </w:r>
      <w:r>
        <w:rPr>
          <w:rFonts w:hint="eastAsia"/>
          <w:szCs w:val="21"/>
        </w:rPr>
        <w:t>法定代表人授权委托书扫描件（附身份证扫描件）、营业执照扫描件，以上资料为加盖供应商原始公章。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4.3 </w:t>
      </w:r>
      <w:r>
        <w:rPr>
          <w:rFonts w:hint="eastAsia" w:asciiTheme="minorEastAsia" w:hAnsiTheme="minorEastAsia" w:eastAsiaTheme="minorEastAsia"/>
          <w:szCs w:val="21"/>
          <w:lang w:eastAsia="zh-CN"/>
        </w:rPr>
        <w:t>获取地点：益阳市妇幼保健院设备科</w:t>
      </w:r>
      <w:r>
        <w:rPr>
          <w:rFonts w:hint="eastAsia" w:asciiTheme="minorEastAsia" w:hAnsiTheme="minorEastAsia" w:eastAsiaTheme="minorEastAsia"/>
          <w:szCs w:val="21"/>
        </w:rPr>
        <w:t>。</w:t>
      </w:r>
    </w:p>
    <w:p>
      <w:pPr>
        <w:spacing w:line="440" w:lineRule="atLeast"/>
        <w:ind w:firstLine="422" w:firstLineChars="200"/>
        <w:rPr>
          <w:rFonts w:asciiTheme="minorEastAsia" w:hAnsiTheme="minorEastAsia" w:eastAsiaTheme="minorEastAsia"/>
          <w:b/>
          <w:szCs w:val="21"/>
        </w:rPr>
      </w:pPr>
    </w:p>
    <w:p>
      <w:p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w:t>
      </w:r>
      <w:r>
        <w:rPr>
          <w:rFonts w:asciiTheme="minorEastAsia" w:hAnsiTheme="minorEastAsia" w:eastAsiaTheme="minorEastAsia"/>
          <w:szCs w:val="21"/>
        </w:rPr>
        <w:t>截止时间：</w:t>
      </w:r>
      <w:r>
        <w:rPr>
          <w:rFonts w:hint="eastAsia" w:asciiTheme="minorEastAsia" w:hAnsiTheme="minorEastAsia" w:eastAsiaTheme="minorEastAsia"/>
          <w:color w:val="000000"/>
          <w:szCs w:val="21"/>
          <w:lang w:val="en-US" w:eastAsia="zh-CN"/>
        </w:rPr>
        <w:t>2021</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6</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25</w:t>
      </w:r>
      <w:bookmarkStart w:id="75" w:name="_GoBack"/>
      <w:bookmarkEnd w:id="75"/>
      <w:r>
        <w:rPr>
          <w:rFonts w:hint="eastAsia" w:asciiTheme="minorEastAsia" w:hAnsiTheme="minorEastAsia" w:eastAsiaTheme="minorEastAsia"/>
          <w:color w:val="000000"/>
          <w:szCs w:val="21"/>
          <w:lang w:val="en-US" w:eastAsia="zh-CN"/>
        </w:rPr>
        <w:t xml:space="preserve"> </w:t>
      </w:r>
      <w:r>
        <w:rPr>
          <w:rFonts w:hint="eastAsia" w:asciiTheme="minorEastAsia" w:hAnsiTheme="minorEastAsia" w:eastAsiaTheme="minorEastAsia"/>
          <w:color w:val="000000"/>
          <w:szCs w:val="21"/>
        </w:rPr>
        <w:t>日</w:t>
      </w:r>
      <w:r>
        <w:rPr>
          <w:rFonts w:hint="eastAsia" w:asciiTheme="minorEastAsia" w:hAnsiTheme="minorEastAsia" w:eastAsiaTheme="minorEastAsia"/>
          <w:color w:val="000000"/>
          <w:szCs w:val="21"/>
          <w:lang w:val="en-US" w:eastAsia="zh-CN"/>
        </w:rPr>
        <w:t>9</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r>
        <w:rPr>
          <w:rFonts w:asciiTheme="minorEastAsia" w:hAnsiTheme="minorEastAsia" w:eastAsiaTheme="minorEastAsia"/>
          <w:szCs w:val="21"/>
        </w:rPr>
        <w:t>（北京时间）。</w:t>
      </w:r>
      <w:r>
        <w:rPr>
          <w:rFonts w:hint="eastAsia" w:asciiTheme="minorEastAsia" w:hAnsiTheme="minorEastAsia" w:eastAsiaTheme="minorEastAsia"/>
          <w:szCs w:val="21"/>
          <w:lang w:eastAsia="zh-CN"/>
        </w:rPr>
        <w:t>如遇特殊情况另行通知。</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递交地点</w:t>
      </w:r>
      <w:r>
        <w:rPr>
          <w:rFonts w:asciiTheme="minorEastAsia" w:hAnsiTheme="minorEastAsia" w:eastAsiaTheme="minorEastAsia"/>
          <w:szCs w:val="21"/>
        </w:rPr>
        <w:t>：</w:t>
      </w:r>
      <w:r>
        <w:rPr>
          <w:rFonts w:hint="eastAsia" w:asciiTheme="minorEastAsia" w:hAnsiTheme="minorEastAsia" w:eastAsiaTheme="minorEastAsia"/>
          <w:szCs w:val="21"/>
          <w:lang w:eastAsia="zh-CN"/>
        </w:rPr>
        <w:t>益阳市妇幼保健院二楼</w:t>
      </w:r>
      <w:r>
        <w:rPr>
          <w:rFonts w:hint="eastAsia" w:asciiTheme="minorEastAsia" w:hAnsiTheme="minorEastAsia" w:eastAsiaTheme="minorEastAsia"/>
          <w:szCs w:val="21"/>
        </w:rPr>
        <w:t>会议室</w:t>
      </w:r>
      <w:r>
        <w:rPr>
          <w:rFonts w:hint="eastAsia" w:asciiTheme="minorEastAsia" w:hAnsiTheme="minorEastAsia" w:eastAsiaTheme="minorEastAsia"/>
          <w:szCs w:val="21"/>
          <w:lang w:eastAsia="zh-CN"/>
        </w:rPr>
        <w:t>。</w:t>
      </w: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7、采购结束后对未成交供应商未成交原因采购人不予解释，未成交供应商不再另行通知。</w:t>
      </w:r>
    </w:p>
    <w:p>
      <w:pPr>
        <w:spacing w:line="312" w:lineRule="auto"/>
        <w:ind w:firstLine="420" w:firstLineChars="200"/>
        <w:rPr>
          <w:rFonts w:asciiTheme="minorEastAsia" w:hAnsiTheme="minorEastAsia" w:eastAsiaTheme="minorEastAsia"/>
          <w:szCs w:val="21"/>
        </w:rPr>
      </w:pP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、采购人：</w:t>
      </w:r>
      <w:r>
        <w:rPr>
          <w:rFonts w:hint="eastAsia" w:asciiTheme="minorEastAsia" w:hAnsiTheme="minorEastAsia" w:eastAsiaTheme="minorEastAsia"/>
          <w:szCs w:val="21"/>
          <w:lang w:eastAsia="zh-CN"/>
        </w:rPr>
        <w:t>益阳市妇幼保健院</w:t>
      </w:r>
    </w:p>
    <w:p>
      <w:pPr>
        <w:spacing w:line="312"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.1地址</w:t>
      </w:r>
      <w:r>
        <w:rPr>
          <w:rFonts w:hint="eastAsia" w:asciiTheme="minorEastAsia" w:hAnsiTheme="minorEastAsia" w:eastAsiaTheme="minorEastAsia"/>
          <w:szCs w:val="21"/>
          <w:lang w:val="en-US" w:eastAsia="zh-CN"/>
        </w:rPr>
        <w:t>:益阳市团圆南路212号</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.2联系人：</w:t>
      </w:r>
      <w:r>
        <w:rPr>
          <w:rFonts w:hint="eastAsia" w:asciiTheme="minorEastAsia" w:hAnsiTheme="minorEastAsia" w:eastAsiaTheme="minorEastAsia"/>
          <w:szCs w:val="21"/>
          <w:lang w:val="en-US" w:eastAsia="zh-CN"/>
        </w:rPr>
        <w:t xml:space="preserve"> 汤女士</w:t>
      </w:r>
    </w:p>
    <w:p>
      <w:pPr>
        <w:spacing w:line="312"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8.3</w:t>
      </w:r>
      <w:r>
        <w:rPr>
          <w:rFonts w:hint="eastAsia" w:asciiTheme="minorEastAsia" w:hAnsiTheme="minorEastAsia" w:eastAsiaTheme="minorEastAsia"/>
          <w:szCs w:val="21"/>
        </w:rPr>
        <w:t>联系电话：</w:t>
      </w:r>
      <w:r>
        <w:rPr>
          <w:rFonts w:hint="eastAsia" w:asciiTheme="minorEastAsia" w:hAnsiTheme="minorEastAsia" w:eastAsiaTheme="minorEastAsia"/>
          <w:szCs w:val="21"/>
          <w:lang w:val="en-US" w:eastAsia="zh-CN"/>
        </w:rPr>
        <w:t xml:space="preserve"> 0737--4205236</w:t>
      </w: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pStyle w:val="2"/>
        <w:jc w:val="center"/>
        <w:rPr>
          <w:rFonts w:asciiTheme="minorEastAsia" w:hAnsiTheme="minorEastAsia" w:eastAsiaTheme="minorEastAsia"/>
          <w:b w:val="0"/>
          <w:bCs w:val="0"/>
        </w:rPr>
      </w:pPr>
      <w:bookmarkStart w:id="11" w:name="_Toc49019216"/>
      <w:bookmarkStart w:id="12" w:name="_Toc47416177"/>
      <w:bookmarkStart w:id="13" w:name="_Toc47415923"/>
      <w:bookmarkStart w:id="14" w:name="_Toc531213462"/>
    </w:p>
    <w:p>
      <w:pPr>
        <w:pStyle w:val="2"/>
        <w:jc w:val="center"/>
        <w:rPr>
          <w:rFonts w:asciiTheme="minorEastAsia" w:hAnsiTheme="minorEastAsia" w:eastAsiaTheme="minorEastAsia"/>
          <w:b w:val="0"/>
          <w:bCs w:val="0"/>
        </w:rPr>
      </w:pPr>
    </w:p>
    <w:p>
      <w:pPr>
        <w:pStyle w:val="2"/>
        <w:jc w:val="center"/>
        <w:rPr>
          <w:rFonts w:asciiTheme="minorEastAsia" w:hAnsiTheme="minorEastAsia" w:eastAsiaTheme="minorEastAsia"/>
          <w:b w:val="0"/>
          <w:bCs w:val="0"/>
        </w:rPr>
      </w:pPr>
    </w:p>
    <w:p>
      <w:pPr>
        <w:pStyle w:val="2"/>
        <w:jc w:val="center"/>
        <w:rPr>
          <w:rFonts w:asciiTheme="minorEastAsia" w:hAnsiTheme="minorEastAsia" w:eastAsiaTheme="minorEastAsia"/>
          <w:snapToGrid w:val="0"/>
        </w:rPr>
      </w:pPr>
      <w:r>
        <w:rPr>
          <w:rFonts w:hint="eastAsia" w:asciiTheme="minorEastAsia" w:hAnsiTheme="minorEastAsia" w:eastAsiaTheme="minorEastAsia"/>
          <w:b w:val="0"/>
          <w:bCs w:val="0"/>
        </w:rPr>
        <w:t xml:space="preserve">第二章  </w:t>
      </w:r>
      <w:bookmarkEnd w:id="11"/>
      <w:bookmarkEnd w:id="12"/>
      <w:bookmarkEnd w:id="13"/>
      <w:bookmarkStart w:id="15" w:name="_Toc49019227"/>
      <w:bookmarkStart w:id="16" w:name="_Toc47416188"/>
      <w:bookmarkStart w:id="17" w:name="_Toc47262060"/>
      <w:bookmarkStart w:id="18" w:name="_Toc47261681"/>
      <w:bookmarkStart w:id="19" w:name="_Toc47261876"/>
      <w:bookmarkStart w:id="20" w:name="_Toc47415934"/>
      <w:r>
        <w:rPr>
          <w:rFonts w:hint="eastAsia" w:asciiTheme="minorEastAsia" w:hAnsiTheme="minorEastAsia" w:eastAsiaTheme="minorEastAsia"/>
          <w:b w:val="0"/>
          <w:bCs w:val="0"/>
        </w:rPr>
        <w:t>采购需求</w:t>
      </w:r>
      <w:bookmarkEnd w:id="14"/>
      <w:bookmarkEnd w:id="15"/>
      <w:bookmarkEnd w:id="16"/>
      <w:bookmarkEnd w:id="17"/>
      <w:bookmarkEnd w:id="18"/>
      <w:bookmarkEnd w:id="19"/>
      <w:bookmarkEnd w:id="20"/>
    </w:p>
    <w:p>
      <w:pPr>
        <w:spacing w:after="120" w:line="400" w:lineRule="exact"/>
        <w:jc w:val="center"/>
        <w:rPr>
          <w:rFonts w:asciiTheme="minorEastAsia" w:hAnsiTheme="minorEastAsia" w:eastAsiaTheme="minorEastAsia"/>
          <w:b/>
          <w:bCs/>
          <w:sz w:val="28"/>
          <w:szCs w:val="28"/>
        </w:rPr>
      </w:pPr>
      <w:r>
        <w:rPr>
          <w:rFonts w:asciiTheme="minorEastAsia" w:hAnsiTheme="minorEastAsia" w:eastAsiaTheme="minorEastAsia"/>
          <w:snapToGrid w:val="0"/>
        </w:rPr>
        <w:br w:type="page"/>
      </w: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一、采购需求一览表</w:t>
      </w:r>
    </w:p>
    <w:p>
      <w:pPr>
        <w:spacing w:after="120" w:line="400" w:lineRule="exact"/>
        <w:jc w:val="center"/>
        <w:rPr>
          <w:rFonts w:asciiTheme="minorEastAsia" w:hAnsiTheme="minorEastAsia" w:eastAsiaTheme="minorEastAsia"/>
          <w:b/>
          <w:bCs/>
          <w:sz w:val="28"/>
          <w:szCs w:val="28"/>
        </w:rPr>
      </w:pP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4432"/>
        <w:gridCol w:w="1241"/>
        <w:gridCol w:w="20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770" w:type="dxa"/>
            <w:vAlign w:val="center"/>
          </w:tcPr>
          <w:p>
            <w:pPr>
              <w:widowControl/>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4432"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货物名称</w:t>
            </w:r>
          </w:p>
        </w:tc>
        <w:tc>
          <w:tcPr>
            <w:tcW w:w="1241" w:type="dxa"/>
            <w:vAlign w:val="center"/>
          </w:tcPr>
          <w:p>
            <w:pPr>
              <w:widowControl/>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2079" w:type="dxa"/>
            <w:vAlign w:val="center"/>
          </w:tcPr>
          <w:p>
            <w:pPr>
              <w:widowControl/>
              <w:spacing w:line="360" w:lineRule="exact"/>
              <w:jc w:val="center"/>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432" w:type="dxa"/>
            <w:vAlign w:val="center"/>
          </w:tcPr>
          <w:p>
            <w:pPr>
              <w:jc w:val="both"/>
              <w:rPr>
                <w:rFonts w:hint="eastAsia" w:cs="Times New Roman" w:asciiTheme="minorEastAsia" w:hAnsiTheme="minorEastAsia" w:eastAsiaTheme="minorEastAsia"/>
                <w:b w:val="0"/>
                <w:bCs/>
                <w:sz w:val="21"/>
                <w:szCs w:val="21"/>
                <w:lang w:val="en-US" w:eastAsia="zh-CN" w:bidi="ar-SA"/>
              </w:rPr>
            </w:pPr>
            <w:r>
              <w:rPr>
                <w:rFonts w:hint="eastAsia" w:asciiTheme="minorEastAsia" w:hAnsiTheme="minorEastAsia" w:eastAsiaTheme="minorEastAsia"/>
                <w:b w:val="0"/>
                <w:bCs/>
                <w:sz w:val="21"/>
                <w:szCs w:val="21"/>
                <w:lang w:eastAsia="zh-CN"/>
              </w:rPr>
              <w:t>视频喉镜</w:t>
            </w:r>
          </w:p>
        </w:tc>
        <w:tc>
          <w:tcPr>
            <w:tcW w:w="1241" w:type="dxa"/>
            <w:vAlign w:val="center"/>
          </w:tcPr>
          <w:p>
            <w:pPr>
              <w:widowControl/>
              <w:spacing w:line="360" w:lineRule="exact"/>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1套</w:t>
            </w:r>
          </w:p>
        </w:tc>
        <w:tc>
          <w:tcPr>
            <w:tcW w:w="2079" w:type="dxa"/>
            <w:vAlign w:val="center"/>
          </w:tcPr>
          <w:p>
            <w:pPr>
              <w:widowControl/>
              <w:spacing w:line="360" w:lineRule="exact"/>
              <w:jc w:val="center"/>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4432" w:type="dxa"/>
            <w:vAlign w:val="center"/>
          </w:tcPr>
          <w:p>
            <w:pPr>
              <w:spacing w:line="360" w:lineRule="auto"/>
              <w:jc w:val="both"/>
              <w:rPr>
                <w:rFonts w:hint="eastAsia" w:cs="Times New Roman" w:asciiTheme="minorEastAsia" w:hAnsiTheme="minorEastAsia" w:eastAsiaTheme="minorEastAsia"/>
                <w:b w:val="0"/>
                <w:bCs/>
                <w:sz w:val="21"/>
                <w:szCs w:val="21"/>
                <w:lang w:val="en-US" w:eastAsia="zh-CN" w:bidi="ar-SA"/>
              </w:rPr>
            </w:pPr>
            <w:r>
              <w:rPr>
                <w:rFonts w:hint="eastAsia" w:asciiTheme="minorEastAsia" w:hAnsiTheme="minorEastAsia" w:eastAsiaTheme="minorEastAsia"/>
                <w:b w:val="0"/>
                <w:bCs/>
                <w:sz w:val="21"/>
                <w:szCs w:val="21"/>
                <w:lang w:eastAsia="zh-CN"/>
              </w:rPr>
              <w:t>一次性喉镜片（适合临床的各种型号）</w:t>
            </w:r>
          </w:p>
        </w:tc>
        <w:tc>
          <w:tcPr>
            <w:tcW w:w="1241" w:type="dxa"/>
            <w:vAlign w:val="center"/>
          </w:tcPr>
          <w:p>
            <w:pPr>
              <w:widowControl/>
              <w:spacing w:line="360" w:lineRule="exact"/>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片</w:t>
            </w:r>
          </w:p>
        </w:tc>
        <w:tc>
          <w:tcPr>
            <w:tcW w:w="2079" w:type="dxa"/>
            <w:vAlign w:val="center"/>
          </w:tcPr>
          <w:p>
            <w:pPr>
              <w:widowControl/>
              <w:spacing w:line="360" w:lineRule="exact"/>
              <w:jc w:val="center"/>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50.00</w:t>
            </w:r>
          </w:p>
        </w:tc>
      </w:tr>
    </w:tbl>
    <w:p>
      <w:pPr>
        <w:spacing w:after="120" w:line="400" w:lineRule="exact"/>
        <w:jc w:val="center"/>
        <w:rPr>
          <w:rFonts w:asciiTheme="minorEastAsia" w:hAnsiTheme="minorEastAsia" w:eastAsiaTheme="minorEastAsia"/>
          <w:b/>
          <w:bCs/>
          <w:sz w:val="28"/>
          <w:szCs w:val="28"/>
        </w:rPr>
      </w:pP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二、货物技术要求</w:t>
      </w:r>
    </w:p>
    <w:p>
      <w:pPr>
        <w:spacing w:line="360" w:lineRule="auto"/>
        <w:rPr>
          <w:rFonts w:ascii="宋体" w:hAnsi="宋体"/>
          <w:b/>
          <w:bCs/>
        </w:rPr>
      </w:pPr>
      <w:r>
        <w:rPr>
          <w:rFonts w:hint="eastAsia" w:ascii="宋体" w:hAnsi="宋体"/>
          <w:b/>
          <w:bCs/>
        </w:rPr>
        <w:t>一：主机技术要求</w:t>
      </w:r>
    </w:p>
    <w:p>
      <w:pPr>
        <w:spacing w:line="360" w:lineRule="auto"/>
        <w:rPr>
          <w:rFonts w:ascii="宋体" w:hAnsi="宋体"/>
        </w:rPr>
      </w:pPr>
      <w:r>
        <w:rPr>
          <w:rFonts w:hint="eastAsia" w:ascii="宋体" w:hAnsi="宋体"/>
        </w:rPr>
        <w:t>1：采用智能主控芯片，可无缝兼容窥视叶片手柄、硬管手柄、软管手柄，无需转接。</w:t>
      </w:r>
    </w:p>
    <w:p>
      <w:pPr>
        <w:spacing w:line="360" w:lineRule="auto"/>
        <w:rPr>
          <w:rFonts w:ascii="宋体" w:hAnsi="宋体"/>
        </w:rPr>
      </w:pPr>
      <w:r>
        <w:rPr>
          <w:rFonts w:hint="eastAsia" w:ascii="宋体" w:hAnsi="宋体"/>
        </w:rPr>
        <w:t>2:采用广角高亮显示屏，视场角≥160°。</w:t>
      </w:r>
    </w:p>
    <w:p>
      <w:pPr>
        <w:spacing w:line="360" w:lineRule="auto"/>
        <w:rPr>
          <w:rFonts w:ascii="宋体" w:hAnsi="宋体"/>
        </w:rPr>
      </w:pPr>
      <w:r>
        <w:rPr>
          <w:rFonts w:hint="eastAsia" w:ascii="宋体" w:hAnsi="宋体"/>
        </w:rPr>
        <w:t>3：主机屏幕≥3.</w:t>
      </w:r>
      <w:r>
        <w:rPr>
          <w:rFonts w:hint="eastAsia" w:ascii="宋体" w:hAnsi="宋体"/>
          <w:lang w:val="en-US" w:eastAsia="zh-CN"/>
        </w:rPr>
        <w:t>2</w:t>
      </w:r>
      <w:r>
        <w:rPr>
          <w:rFonts w:hint="eastAsia" w:ascii="宋体" w:hAnsi="宋体"/>
        </w:rPr>
        <w:t>寸，显示分辨率≥640×480。</w:t>
      </w:r>
    </w:p>
    <w:p>
      <w:pPr>
        <w:spacing w:line="360" w:lineRule="auto"/>
        <w:rPr>
          <w:rFonts w:ascii="宋体" w:hAnsi="宋体"/>
        </w:rPr>
      </w:pPr>
      <w:r>
        <w:rPr>
          <w:rFonts w:hint="eastAsia" w:ascii="宋体" w:hAnsi="宋体"/>
          <w:lang w:val="en-US" w:eastAsia="zh-CN"/>
        </w:rPr>
        <w:t>4</w:t>
      </w:r>
      <w:r>
        <w:rPr>
          <w:rFonts w:hint="eastAsia" w:ascii="宋体" w:hAnsi="宋体"/>
        </w:rPr>
        <w:t>：可通过有线或无线方式外接显示器，实现同屏实时显示传输。</w:t>
      </w:r>
    </w:p>
    <w:p>
      <w:pPr>
        <w:spacing w:line="360" w:lineRule="auto"/>
        <w:rPr>
          <w:rFonts w:ascii="宋体" w:hAnsi="宋体"/>
        </w:rPr>
      </w:pPr>
      <w:r>
        <w:rPr>
          <w:rFonts w:hint="eastAsia" w:ascii="宋体" w:hAnsi="宋体"/>
          <w:lang w:val="en-US" w:eastAsia="zh-CN"/>
        </w:rPr>
        <w:t>5</w:t>
      </w:r>
      <w:r>
        <w:rPr>
          <w:rFonts w:hint="eastAsia" w:ascii="宋体" w:hAnsi="宋体"/>
        </w:rPr>
        <w:t>：主机内置多媒体系统，可拍照、录像、录音，可在主机上直接阅读、回放。</w:t>
      </w:r>
    </w:p>
    <w:p>
      <w:pPr>
        <w:spacing w:line="360" w:lineRule="auto"/>
        <w:rPr>
          <w:rFonts w:ascii="宋体" w:hAnsi="宋体"/>
        </w:rPr>
      </w:pPr>
      <w:r>
        <w:rPr>
          <w:rFonts w:hint="eastAsia" w:ascii="宋体" w:hAnsi="宋体"/>
          <w:lang w:val="en-US" w:eastAsia="zh-CN"/>
        </w:rPr>
        <w:t>6</w:t>
      </w:r>
      <w:r>
        <w:rPr>
          <w:rFonts w:hint="eastAsia" w:ascii="宋体" w:hAnsi="宋体"/>
        </w:rPr>
        <w:t xml:space="preserve">：具备USB、HDMI输出方式，方便科研、教学。 </w:t>
      </w:r>
    </w:p>
    <w:p>
      <w:pPr>
        <w:spacing w:line="360" w:lineRule="auto"/>
        <w:rPr>
          <w:rFonts w:ascii="宋体" w:hAnsi="宋体"/>
        </w:rPr>
      </w:pPr>
      <w:r>
        <w:rPr>
          <w:rFonts w:hint="eastAsia" w:ascii="宋体" w:hAnsi="宋体"/>
          <w:lang w:val="en-US" w:eastAsia="zh-CN"/>
        </w:rPr>
        <w:t>7</w:t>
      </w:r>
      <w:r>
        <w:rPr>
          <w:rFonts w:hint="eastAsia" w:ascii="宋体" w:hAnsi="宋体"/>
        </w:rPr>
        <w:t>：主机内置操作使用视频，方便临床医护人员快速掌握设备使用方法。</w:t>
      </w:r>
    </w:p>
    <w:p>
      <w:pPr>
        <w:spacing w:line="360" w:lineRule="auto"/>
        <w:rPr>
          <w:rFonts w:ascii="宋体" w:hAnsi="宋体"/>
        </w:rPr>
      </w:pPr>
      <w:r>
        <w:rPr>
          <w:rFonts w:hint="eastAsia" w:ascii="宋体" w:hAnsi="宋体"/>
          <w:lang w:val="en-US" w:eastAsia="zh-CN"/>
        </w:rPr>
        <w:t>8</w:t>
      </w:r>
      <w:r>
        <w:rPr>
          <w:rFonts w:hint="eastAsia" w:ascii="宋体" w:hAnsi="宋体"/>
        </w:rPr>
        <w:t>：具有户外/户内环境模式，以适应不同插管环境。</w:t>
      </w:r>
    </w:p>
    <w:p>
      <w:pPr>
        <w:spacing w:line="360" w:lineRule="auto"/>
        <w:rPr>
          <w:rFonts w:ascii="宋体" w:hAnsi="宋体"/>
        </w:rPr>
      </w:pPr>
      <w:r>
        <w:rPr>
          <w:rFonts w:hint="eastAsia" w:ascii="宋体" w:hAnsi="宋体"/>
          <w:lang w:val="en-US" w:eastAsia="zh-CN"/>
        </w:rPr>
        <w:t>9</w:t>
      </w:r>
      <w:r>
        <w:rPr>
          <w:rFonts w:hint="eastAsia" w:ascii="宋体" w:hAnsi="宋体"/>
        </w:rPr>
        <w:t>：内置锂电池，容量不低于2500mAh，工作时间≥240分钟，具备电量管理功能。</w:t>
      </w:r>
    </w:p>
    <w:p>
      <w:pPr>
        <w:spacing w:line="360" w:lineRule="auto"/>
        <w:rPr>
          <w:rFonts w:ascii="宋体" w:hAnsi="宋体"/>
        </w:rPr>
      </w:pPr>
      <w:r>
        <w:rPr>
          <w:rFonts w:hint="eastAsia" w:ascii="宋体" w:hAnsi="宋体"/>
          <w:lang w:val="en-US" w:eastAsia="zh-CN"/>
        </w:rPr>
        <w:t>10</w:t>
      </w:r>
      <w:r>
        <w:rPr>
          <w:rFonts w:hint="eastAsia" w:ascii="宋体" w:hAnsi="宋体"/>
        </w:rPr>
        <w:t>：主机与各种手柄均可带电一键插拔连接、分离，无需旋转，方便临床使用及携带。</w:t>
      </w:r>
    </w:p>
    <w:p>
      <w:pPr>
        <w:spacing w:line="360" w:lineRule="auto"/>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：显示器能上下0º～130º转动，左右0º～270º转动，以方便特殊体位的操作。</w:t>
      </w:r>
    </w:p>
    <w:p>
      <w:pPr>
        <w:spacing w:line="360" w:lineRule="auto"/>
        <w:rPr>
          <w:rFonts w:hint="eastAsia" w:ascii="宋体" w:hAnsi="宋体"/>
        </w:rPr>
      </w:pPr>
      <w:r>
        <w:rPr>
          <w:rFonts w:hint="eastAsia" w:ascii="宋体" w:hAnsi="宋体"/>
        </w:rPr>
        <w:t xml:space="preserve"> </w:t>
      </w:r>
    </w:p>
    <w:p>
      <w:pPr>
        <w:spacing w:line="360" w:lineRule="auto"/>
        <w:rPr>
          <w:rFonts w:hint="eastAsia" w:ascii="宋体" w:hAnsi="宋体"/>
        </w:rPr>
      </w:pPr>
    </w:p>
    <w:p>
      <w:pPr>
        <w:spacing w:line="360" w:lineRule="auto"/>
        <w:rPr>
          <w:rFonts w:ascii="宋体" w:hAnsi="宋体"/>
          <w:b/>
          <w:bCs/>
        </w:rPr>
      </w:pPr>
      <w:r>
        <w:rPr>
          <w:rFonts w:hint="eastAsia" w:ascii="宋体" w:hAnsi="宋体"/>
          <w:b/>
          <w:bCs/>
        </w:rPr>
        <w:t>二：窥视叶片手柄 技术规格要求</w:t>
      </w:r>
    </w:p>
    <w:p>
      <w:pPr>
        <w:spacing w:line="360" w:lineRule="auto"/>
        <w:rPr>
          <w:rFonts w:ascii="宋体" w:hAnsi="宋体"/>
        </w:rPr>
      </w:pPr>
      <w:r>
        <w:rPr>
          <w:rFonts w:hint="eastAsia" w:ascii="宋体" w:hAnsi="宋体"/>
        </w:rPr>
        <w:t>1：采用数字电子成像技术，空间分辨率：≥6.35lp/mm。</w:t>
      </w:r>
    </w:p>
    <w:p>
      <w:pPr>
        <w:spacing w:line="360" w:lineRule="auto"/>
        <w:rPr>
          <w:rFonts w:ascii="宋体" w:hAnsi="宋体"/>
        </w:rPr>
      </w:pPr>
      <w:r>
        <w:rPr>
          <w:rFonts w:hint="eastAsia" w:ascii="宋体" w:hAnsi="宋体"/>
        </w:rPr>
        <w:t>2：采用可调节的多功能手柄，一支手柄可满足婴幼儿、小儿、成人的插管需求，无需更换。</w:t>
      </w:r>
    </w:p>
    <w:p>
      <w:pPr>
        <w:spacing w:line="360" w:lineRule="auto"/>
        <w:rPr>
          <w:rFonts w:ascii="宋体" w:hAnsi="宋体"/>
        </w:rPr>
      </w:pPr>
      <w:r>
        <w:rPr>
          <w:rFonts w:hint="eastAsia" w:ascii="宋体" w:hAnsi="宋体"/>
        </w:rPr>
        <w:t>3：手柄滑竿采用304不锈钢材质，可承重90KG拉力。</w:t>
      </w:r>
    </w:p>
    <w:p>
      <w:pPr>
        <w:spacing w:line="360" w:lineRule="auto"/>
        <w:rPr>
          <w:rFonts w:ascii="宋体" w:hAnsi="宋体"/>
        </w:rPr>
      </w:pPr>
      <w:r>
        <w:rPr>
          <w:rFonts w:hint="eastAsia" w:ascii="宋体" w:hAnsi="宋体"/>
        </w:rPr>
        <w:t>4：手柄前端配备智能温控加热板，非LED灯加热，以实现即时防雾功能。</w:t>
      </w:r>
    </w:p>
    <w:p>
      <w:pPr>
        <w:spacing w:line="360" w:lineRule="auto"/>
        <w:rPr>
          <w:rFonts w:ascii="宋体" w:hAnsi="宋体"/>
        </w:rPr>
      </w:pPr>
      <w:r>
        <w:rPr>
          <w:rFonts w:hint="eastAsia" w:ascii="宋体" w:hAnsi="宋体"/>
        </w:rPr>
        <w:t>5：照明采用1个LED灯，亮度≥1000LUX。</w:t>
      </w:r>
    </w:p>
    <w:p>
      <w:pPr>
        <w:spacing w:line="360" w:lineRule="auto"/>
        <w:rPr>
          <w:rFonts w:ascii="宋体" w:hAnsi="宋体"/>
        </w:rPr>
      </w:pPr>
      <w:r>
        <w:rPr>
          <w:rFonts w:hint="eastAsia" w:ascii="宋体" w:hAnsi="宋体"/>
        </w:rPr>
        <w:t>6：手柄可同时适配一次性喉镜片和可重复使用窥视叶片，型号分别为：SS（婴幼儿型）、S（儿童型）、M（成人型）、L（成人大号型）。</w:t>
      </w:r>
    </w:p>
    <w:p>
      <w:pPr>
        <w:spacing w:line="360" w:lineRule="auto"/>
        <w:rPr>
          <w:rFonts w:ascii="宋体" w:hAnsi="宋体"/>
        </w:rPr>
      </w:pPr>
      <w:r>
        <w:rPr>
          <w:rFonts w:hint="eastAsia" w:ascii="宋体" w:hAnsi="宋体"/>
        </w:rPr>
        <w:t>7:一次性喉镜片及可重复使用窥视叶片均作磨砂防反光处理，操作视野更为清晰。</w:t>
      </w:r>
    </w:p>
    <w:p>
      <w:pPr>
        <w:spacing w:line="360" w:lineRule="auto"/>
        <w:rPr>
          <w:rFonts w:ascii="宋体" w:hAnsi="宋体"/>
        </w:rPr>
      </w:pPr>
      <w:r>
        <w:rPr>
          <w:rFonts w:hint="eastAsia" w:ascii="宋体" w:hAnsi="宋体"/>
        </w:rPr>
        <w:t>8：最小开口度≤13mm，适合不同体型插管患者。</w:t>
      </w:r>
    </w:p>
    <w:p>
      <w:pPr>
        <w:spacing w:line="360" w:lineRule="auto"/>
        <w:rPr>
          <w:rFonts w:ascii="宋体" w:hAnsi="宋体"/>
        </w:rPr>
      </w:pPr>
      <w:r>
        <w:rPr>
          <w:rFonts w:hint="eastAsia" w:ascii="宋体" w:hAnsi="宋体"/>
        </w:rPr>
        <w:t>9：具备耐磨、防跌落、防泼洒性能，以满足特殊抢救环境使用。</w:t>
      </w:r>
    </w:p>
    <w:p>
      <w:pPr>
        <w:spacing w:line="360" w:lineRule="auto"/>
        <w:rPr>
          <w:rFonts w:ascii="宋体" w:hAnsi="宋体"/>
        </w:rPr>
      </w:pPr>
      <w:r>
        <w:rPr>
          <w:rFonts w:hint="eastAsia" w:ascii="宋体" w:hAnsi="宋体"/>
        </w:rPr>
        <w:t>10：与主机之间的连接方式采用一键插拔，无需旋转，利于临床抢救。</w:t>
      </w:r>
    </w:p>
    <w:p>
      <w:pPr>
        <w:spacing w:line="360" w:lineRule="auto"/>
        <w:rPr>
          <w:rFonts w:ascii="宋体" w:hAnsi="宋体"/>
          <w:color w:val="C00000"/>
        </w:rPr>
      </w:pPr>
      <w:r>
        <w:rPr>
          <w:rFonts w:hint="eastAsia" w:ascii="宋体" w:hAnsi="宋体"/>
          <w:color w:val="C00000"/>
        </w:rPr>
        <w:t xml:space="preserve">11：可以选配无线传输功能模块，用于无线连接大屏幕显示器，方便医生操作、教学。    </w:t>
      </w:r>
    </w:p>
    <w:p>
      <w:pPr>
        <w:spacing w:line="360" w:lineRule="auto"/>
        <w:rPr>
          <w:rFonts w:hint="eastAsia" w:ascii="宋体" w:hAnsi="宋体"/>
          <w:b/>
          <w:bCs/>
          <w:color w:val="C00000"/>
        </w:rPr>
      </w:pPr>
      <w:r>
        <w:rPr>
          <w:rFonts w:hint="eastAsia" w:ascii="宋体" w:hAnsi="宋体"/>
          <w:b/>
          <w:bCs/>
          <w:color w:val="C00000"/>
        </w:rPr>
        <w:t xml:space="preserve"> </w:t>
      </w:r>
    </w:p>
    <w:p>
      <w:pPr>
        <w:spacing w:line="360" w:lineRule="auto"/>
        <w:rPr>
          <w:rFonts w:hint="eastAsia" w:ascii="宋体" w:hAnsi="宋体"/>
          <w:b/>
          <w:bCs/>
        </w:rPr>
      </w:pPr>
    </w:p>
    <w:p>
      <w:pPr>
        <w:spacing w:line="360" w:lineRule="auto"/>
        <w:rPr>
          <w:rFonts w:hint="eastAsia" w:ascii="宋体" w:hAnsi="宋体"/>
          <w:b/>
          <w:bCs/>
        </w:rPr>
      </w:pPr>
    </w:p>
    <w:p>
      <w:pPr>
        <w:jc w:val="center"/>
        <w:rPr>
          <w:rFonts w:ascii="宋体" w:hAnsi="宋体" w:eastAsia="宋体" w:cs="宋体"/>
          <w:b/>
          <w:bCs/>
          <w:sz w:val="24"/>
        </w:rPr>
      </w:pPr>
      <w:r>
        <w:rPr>
          <w:rFonts w:hint="eastAsia" w:ascii="宋体" w:hAnsi="宋体" w:eastAsia="宋体" w:cs="宋体"/>
          <w:b/>
          <w:bCs/>
          <w:sz w:val="24"/>
        </w:rPr>
        <w:t>视频喉镜（配窥视手柄）配置清单</w:t>
      </w:r>
    </w:p>
    <w:p>
      <w:pPr>
        <w:rPr>
          <w:rFonts w:ascii="宋体" w:hAnsi="宋体" w:eastAsia="宋体" w:cs="宋体"/>
          <w:b/>
          <w:bCs/>
          <w:sz w:val="24"/>
        </w:rPr>
      </w:pPr>
    </w:p>
    <w:tbl>
      <w:tblPr>
        <w:tblStyle w:val="28"/>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4794"/>
        <w:gridCol w:w="1691"/>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4794" w:type="dxa"/>
            <w:vAlign w:val="center"/>
          </w:tcPr>
          <w:p>
            <w:pPr>
              <w:jc w:val="center"/>
              <w:rPr>
                <w:rFonts w:ascii="宋体" w:hAnsi="宋体" w:eastAsia="宋体" w:cs="宋体"/>
                <w:b/>
                <w:bCs/>
                <w:sz w:val="24"/>
              </w:rPr>
            </w:pPr>
            <w:r>
              <w:rPr>
                <w:rFonts w:hint="eastAsia" w:ascii="宋体" w:hAnsi="宋体" w:eastAsia="宋体" w:cs="宋体"/>
                <w:b/>
                <w:bCs/>
                <w:sz w:val="24"/>
              </w:rPr>
              <w:t>名称</w:t>
            </w:r>
          </w:p>
        </w:tc>
        <w:tc>
          <w:tcPr>
            <w:tcW w:w="1691" w:type="dxa"/>
            <w:vAlign w:val="center"/>
          </w:tcPr>
          <w:p>
            <w:pPr>
              <w:jc w:val="center"/>
              <w:rPr>
                <w:rFonts w:ascii="宋体" w:hAnsi="宋体" w:eastAsia="宋体" w:cs="宋体"/>
                <w:b/>
                <w:bCs/>
                <w:sz w:val="24"/>
              </w:rPr>
            </w:pPr>
            <w:r>
              <w:rPr>
                <w:rFonts w:hint="eastAsia" w:ascii="宋体" w:hAnsi="宋体" w:eastAsia="宋体" w:cs="宋体"/>
                <w:b/>
                <w:bCs/>
                <w:sz w:val="24"/>
              </w:rPr>
              <w:t>单位</w:t>
            </w:r>
          </w:p>
        </w:tc>
        <w:tc>
          <w:tcPr>
            <w:tcW w:w="1203" w:type="dxa"/>
            <w:vAlign w:val="center"/>
          </w:tcPr>
          <w:p>
            <w:pPr>
              <w:jc w:val="center"/>
              <w:rPr>
                <w:rFonts w:ascii="宋体" w:hAnsi="宋体" w:eastAsia="宋体" w:cs="宋体"/>
                <w:b/>
                <w:bCs/>
                <w:sz w:val="24"/>
              </w:rPr>
            </w:pPr>
            <w:r>
              <w:rPr>
                <w:rFonts w:hint="eastAsia" w:ascii="宋体" w:hAnsi="宋体" w:eastAsia="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1</w:t>
            </w:r>
          </w:p>
        </w:tc>
        <w:tc>
          <w:tcPr>
            <w:tcW w:w="4794" w:type="dxa"/>
            <w:vAlign w:val="center"/>
          </w:tcPr>
          <w:p>
            <w:pPr>
              <w:jc w:val="center"/>
              <w:rPr>
                <w:rFonts w:ascii="宋体" w:hAnsi="宋体" w:eastAsia="宋体" w:cs="宋体"/>
                <w:sz w:val="24"/>
              </w:rPr>
            </w:pPr>
            <w:r>
              <w:rPr>
                <w:rFonts w:hint="eastAsia" w:ascii="宋体" w:hAnsi="宋体" w:eastAsia="宋体" w:cs="宋体"/>
                <w:sz w:val="24"/>
              </w:rPr>
              <w:t>便携箱</w:t>
            </w:r>
          </w:p>
        </w:tc>
        <w:tc>
          <w:tcPr>
            <w:tcW w:w="1691" w:type="dxa"/>
            <w:vAlign w:val="center"/>
          </w:tcPr>
          <w:p>
            <w:pPr>
              <w:jc w:val="center"/>
              <w:rPr>
                <w:rFonts w:ascii="宋体" w:hAnsi="宋体" w:eastAsia="宋体" w:cs="宋体"/>
                <w:sz w:val="24"/>
              </w:rPr>
            </w:pPr>
            <w:r>
              <w:rPr>
                <w:rFonts w:hint="eastAsia" w:ascii="宋体" w:hAnsi="宋体" w:eastAsia="宋体" w:cs="宋体"/>
                <w:sz w:val="24"/>
              </w:rPr>
              <w:t>个</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2</w:t>
            </w:r>
          </w:p>
        </w:tc>
        <w:tc>
          <w:tcPr>
            <w:tcW w:w="4794" w:type="dxa"/>
            <w:vAlign w:val="center"/>
          </w:tcPr>
          <w:p>
            <w:pPr>
              <w:jc w:val="center"/>
              <w:rPr>
                <w:rFonts w:ascii="宋体" w:hAnsi="宋体" w:eastAsia="宋体" w:cs="宋体"/>
                <w:sz w:val="24"/>
              </w:rPr>
            </w:pPr>
            <w:r>
              <w:rPr>
                <w:rFonts w:hint="eastAsia" w:ascii="宋体" w:hAnsi="宋体" w:eastAsia="宋体" w:cs="宋体"/>
                <w:sz w:val="24"/>
              </w:rPr>
              <w:t>主机</w:t>
            </w:r>
          </w:p>
        </w:tc>
        <w:tc>
          <w:tcPr>
            <w:tcW w:w="1691" w:type="dxa"/>
            <w:vAlign w:val="center"/>
          </w:tcPr>
          <w:p>
            <w:pPr>
              <w:jc w:val="center"/>
              <w:rPr>
                <w:rFonts w:ascii="宋体" w:hAnsi="宋体" w:eastAsia="宋体" w:cs="宋体"/>
                <w:sz w:val="24"/>
              </w:rPr>
            </w:pPr>
            <w:r>
              <w:rPr>
                <w:rFonts w:hint="eastAsia" w:ascii="宋体" w:hAnsi="宋体" w:eastAsia="宋体" w:cs="宋体"/>
                <w:sz w:val="24"/>
              </w:rPr>
              <w:t>台</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3</w:t>
            </w:r>
          </w:p>
        </w:tc>
        <w:tc>
          <w:tcPr>
            <w:tcW w:w="4794" w:type="dxa"/>
            <w:vAlign w:val="center"/>
          </w:tcPr>
          <w:p>
            <w:pPr>
              <w:jc w:val="center"/>
              <w:rPr>
                <w:rFonts w:ascii="宋体" w:hAnsi="宋体" w:eastAsia="宋体" w:cs="宋体"/>
                <w:sz w:val="24"/>
              </w:rPr>
            </w:pPr>
            <w:r>
              <w:rPr>
                <w:rFonts w:hint="eastAsia" w:ascii="宋体" w:hAnsi="宋体" w:eastAsia="宋体" w:cs="宋体"/>
                <w:sz w:val="24"/>
              </w:rPr>
              <w:t>窥视叶片手柄</w:t>
            </w:r>
          </w:p>
        </w:tc>
        <w:tc>
          <w:tcPr>
            <w:tcW w:w="1691" w:type="dxa"/>
            <w:vAlign w:val="center"/>
          </w:tcPr>
          <w:p>
            <w:pPr>
              <w:jc w:val="center"/>
              <w:rPr>
                <w:rFonts w:ascii="宋体" w:hAnsi="宋体" w:eastAsia="宋体" w:cs="宋体"/>
                <w:sz w:val="24"/>
              </w:rPr>
            </w:pPr>
            <w:r>
              <w:rPr>
                <w:rFonts w:hint="eastAsia" w:ascii="宋体" w:hAnsi="宋体" w:eastAsia="宋体" w:cs="宋体"/>
                <w:sz w:val="24"/>
              </w:rPr>
              <w:t>把</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4</w:t>
            </w:r>
          </w:p>
        </w:tc>
        <w:tc>
          <w:tcPr>
            <w:tcW w:w="4794" w:type="dxa"/>
            <w:vAlign w:val="center"/>
          </w:tcPr>
          <w:p>
            <w:pPr>
              <w:jc w:val="center"/>
              <w:rPr>
                <w:rFonts w:ascii="宋体" w:hAnsi="宋体" w:eastAsia="宋体" w:cs="宋体"/>
                <w:sz w:val="24"/>
              </w:rPr>
            </w:pPr>
            <w:r>
              <w:rPr>
                <w:rFonts w:hint="eastAsia" w:ascii="宋体" w:hAnsi="宋体" w:eastAsia="宋体" w:cs="宋体"/>
                <w:sz w:val="24"/>
              </w:rPr>
              <w:t>窥视叶片</w:t>
            </w:r>
          </w:p>
        </w:tc>
        <w:tc>
          <w:tcPr>
            <w:tcW w:w="1691" w:type="dxa"/>
            <w:vAlign w:val="center"/>
          </w:tcPr>
          <w:p>
            <w:pPr>
              <w:jc w:val="center"/>
              <w:rPr>
                <w:rFonts w:ascii="宋体" w:hAnsi="宋体" w:eastAsia="宋体" w:cs="宋体"/>
                <w:sz w:val="24"/>
              </w:rPr>
            </w:pPr>
            <w:r>
              <w:rPr>
                <w:rFonts w:ascii="宋体" w:hAnsi="宋体" w:eastAsia="宋体" w:cs="宋体"/>
                <w:sz w:val="24"/>
              </w:rPr>
              <w:t>套</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5</w:t>
            </w:r>
          </w:p>
        </w:tc>
        <w:tc>
          <w:tcPr>
            <w:tcW w:w="4794" w:type="dxa"/>
            <w:vAlign w:val="center"/>
          </w:tcPr>
          <w:p>
            <w:pPr>
              <w:jc w:val="center"/>
              <w:rPr>
                <w:rFonts w:ascii="宋体" w:hAnsi="宋体" w:eastAsia="宋体" w:cs="宋体"/>
                <w:sz w:val="24"/>
              </w:rPr>
            </w:pPr>
            <w:r>
              <w:rPr>
                <w:rFonts w:hint="eastAsia" w:ascii="宋体" w:hAnsi="宋体" w:eastAsia="宋体" w:cs="宋体"/>
                <w:sz w:val="24"/>
              </w:rPr>
              <w:t>电源适配器</w:t>
            </w:r>
          </w:p>
        </w:tc>
        <w:tc>
          <w:tcPr>
            <w:tcW w:w="1691" w:type="dxa"/>
            <w:vAlign w:val="center"/>
          </w:tcPr>
          <w:p>
            <w:pPr>
              <w:jc w:val="center"/>
              <w:rPr>
                <w:rFonts w:ascii="宋体" w:hAnsi="宋体" w:eastAsia="宋体" w:cs="宋体"/>
                <w:sz w:val="24"/>
              </w:rPr>
            </w:pPr>
            <w:r>
              <w:rPr>
                <w:rFonts w:hint="eastAsia" w:ascii="宋体" w:hAnsi="宋体" w:eastAsia="宋体" w:cs="宋体"/>
                <w:sz w:val="24"/>
              </w:rPr>
              <w:t>个</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6</w:t>
            </w:r>
          </w:p>
        </w:tc>
        <w:tc>
          <w:tcPr>
            <w:tcW w:w="4794" w:type="dxa"/>
            <w:vAlign w:val="center"/>
          </w:tcPr>
          <w:p>
            <w:pPr>
              <w:jc w:val="center"/>
              <w:rPr>
                <w:rFonts w:ascii="宋体" w:hAnsi="宋体" w:eastAsia="宋体" w:cs="宋体"/>
                <w:sz w:val="24"/>
              </w:rPr>
            </w:pPr>
            <w:r>
              <w:rPr>
                <w:rFonts w:hint="eastAsia" w:ascii="宋体" w:hAnsi="宋体" w:eastAsia="宋体" w:cs="宋体"/>
                <w:sz w:val="24"/>
              </w:rPr>
              <w:t>数据线</w:t>
            </w:r>
          </w:p>
        </w:tc>
        <w:tc>
          <w:tcPr>
            <w:tcW w:w="1691" w:type="dxa"/>
            <w:vAlign w:val="center"/>
          </w:tcPr>
          <w:p>
            <w:pPr>
              <w:jc w:val="center"/>
              <w:rPr>
                <w:rFonts w:ascii="宋体" w:hAnsi="宋体" w:eastAsia="宋体" w:cs="宋体"/>
                <w:sz w:val="24"/>
              </w:rPr>
            </w:pPr>
            <w:r>
              <w:rPr>
                <w:rFonts w:hint="eastAsia" w:ascii="宋体" w:hAnsi="宋体" w:eastAsia="宋体" w:cs="宋体"/>
                <w:sz w:val="24"/>
              </w:rPr>
              <w:t>根</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7</w:t>
            </w:r>
          </w:p>
        </w:tc>
        <w:tc>
          <w:tcPr>
            <w:tcW w:w="4794" w:type="dxa"/>
            <w:vAlign w:val="center"/>
          </w:tcPr>
          <w:p>
            <w:pPr>
              <w:jc w:val="center"/>
              <w:rPr>
                <w:rFonts w:ascii="宋体" w:hAnsi="宋体" w:eastAsia="宋体" w:cs="宋体"/>
                <w:sz w:val="24"/>
              </w:rPr>
            </w:pPr>
            <w:r>
              <w:rPr>
                <w:rFonts w:hint="eastAsia" w:ascii="宋体" w:hAnsi="宋体" w:eastAsia="宋体" w:cs="宋体"/>
                <w:sz w:val="24"/>
              </w:rPr>
              <w:t>使用说明书</w:t>
            </w:r>
          </w:p>
        </w:tc>
        <w:tc>
          <w:tcPr>
            <w:tcW w:w="1691" w:type="dxa"/>
            <w:vAlign w:val="center"/>
          </w:tcPr>
          <w:p>
            <w:pPr>
              <w:jc w:val="center"/>
              <w:rPr>
                <w:rFonts w:ascii="宋体" w:hAnsi="宋体" w:eastAsia="宋体" w:cs="宋体"/>
                <w:sz w:val="24"/>
              </w:rPr>
            </w:pPr>
            <w:r>
              <w:rPr>
                <w:rFonts w:hint="eastAsia" w:ascii="宋体" w:hAnsi="宋体" w:eastAsia="宋体" w:cs="宋体"/>
                <w:sz w:val="24"/>
              </w:rPr>
              <w:t>本</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Align w:val="center"/>
          </w:tcPr>
          <w:p>
            <w:pPr>
              <w:jc w:val="center"/>
              <w:rPr>
                <w:rFonts w:ascii="宋体" w:hAnsi="宋体" w:eastAsia="宋体" w:cs="宋体"/>
                <w:sz w:val="24"/>
              </w:rPr>
            </w:pPr>
            <w:r>
              <w:rPr>
                <w:rFonts w:hint="eastAsia" w:ascii="宋体" w:hAnsi="宋体" w:eastAsia="宋体" w:cs="宋体"/>
                <w:sz w:val="24"/>
              </w:rPr>
              <w:t>8</w:t>
            </w:r>
          </w:p>
        </w:tc>
        <w:tc>
          <w:tcPr>
            <w:tcW w:w="4794" w:type="dxa"/>
            <w:vAlign w:val="center"/>
          </w:tcPr>
          <w:p>
            <w:pPr>
              <w:jc w:val="center"/>
              <w:rPr>
                <w:rFonts w:ascii="宋体" w:hAnsi="宋体" w:eastAsia="宋体" w:cs="宋体"/>
                <w:sz w:val="24"/>
              </w:rPr>
            </w:pPr>
            <w:r>
              <w:rPr>
                <w:rFonts w:hint="eastAsia" w:ascii="宋体" w:hAnsi="宋体" w:eastAsia="宋体" w:cs="宋体"/>
                <w:sz w:val="24"/>
              </w:rPr>
              <w:t>合格证、产品质保卡、装箱清单</w:t>
            </w:r>
          </w:p>
        </w:tc>
        <w:tc>
          <w:tcPr>
            <w:tcW w:w="1691" w:type="dxa"/>
            <w:vAlign w:val="center"/>
          </w:tcPr>
          <w:p>
            <w:pPr>
              <w:jc w:val="center"/>
              <w:rPr>
                <w:rFonts w:ascii="宋体" w:hAnsi="宋体" w:eastAsia="宋体" w:cs="宋体"/>
                <w:sz w:val="24"/>
              </w:rPr>
            </w:pPr>
            <w:r>
              <w:rPr>
                <w:rFonts w:hint="eastAsia" w:ascii="宋体" w:hAnsi="宋体" w:eastAsia="宋体" w:cs="宋体"/>
                <w:sz w:val="24"/>
              </w:rPr>
              <w:t>份</w:t>
            </w:r>
          </w:p>
        </w:tc>
        <w:tc>
          <w:tcPr>
            <w:tcW w:w="1203" w:type="dxa"/>
            <w:vAlign w:val="center"/>
          </w:tcPr>
          <w:p>
            <w:pPr>
              <w:jc w:val="center"/>
              <w:rPr>
                <w:rFonts w:ascii="宋体" w:hAnsi="宋体" w:eastAsia="宋体" w:cs="宋体"/>
                <w:sz w:val="24"/>
              </w:rPr>
            </w:pPr>
            <w:r>
              <w:rPr>
                <w:rFonts w:hint="eastAsia" w:ascii="宋体" w:hAnsi="宋体" w:eastAsia="宋体" w:cs="宋体"/>
                <w:sz w:val="24"/>
              </w:rPr>
              <w:t>1</w:t>
            </w:r>
          </w:p>
        </w:tc>
      </w:tr>
    </w:tbl>
    <w:p>
      <w:pPr>
        <w:keepNext w:val="0"/>
        <w:keepLines w:val="0"/>
        <w:pageBreakBefore w:val="0"/>
        <w:kinsoku/>
        <w:wordWrap/>
        <w:overflowPunct/>
        <w:topLinePunct w:val="0"/>
        <w:autoSpaceDE/>
        <w:autoSpaceDN/>
        <w:bidi w:val="0"/>
        <w:snapToGrid/>
        <w:spacing w:line="360" w:lineRule="auto"/>
        <w:rPr>
          <w:rFonts w:asciiTheme="minorEastAsia" w:hAnsiTheme="minorEastAsia" w:eastAsiaTheme="minorEastAsia"/>
          <w:b w:val="0"/>
          <w:bCs/>
          <w:sz w:val="24"/>
          <w:szCs w:val="24"/>
        </w:rPr>
      </w:pP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三、商务要求</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1.保证货物是全新的，未使用过的，并完全符合采购文件规定的质量、规格和性能的要求。免费负责安装、调试、技术协助。提供免费操作及维修人员培训，列出培训计划，提供使用和维修中文手册。</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2.供应商在医院安装调试过程中发生非最终用户（医院）原因造成的安全责任事故，招标人不承担任何责任。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3.设备验收合格免费保修</w:t>
      </w:r>
      <w:r>
        <w:rPr>
          <w:rFonts w:hint="eastAsia" w:asciiTheme="minorEastAsia" w:hAnsiTheme="minorEastAsia" w:eastAsiaTheme="minorEastAsia"/>
          <w:bCs/>
          <w:szCs w:val="22"/>
          <w:lang w:eastAsia="zh-CN"/>
        </w:rPr>
        <w:t>：</w:t>
      </w:r>
      <w:r>
        <w:rPr>
          <w:rFonts w:hint="eastAsia" w:asciiTheme="minorEastAsia" w:hAnsiTheme="minorEastAsia" w:eastAsiaTheme="minorEastAsia"/>
          <w:bCs/>
          <w:color w:val="FF0000"/>
          <w:szCs w:val="22"/>
          <w:u w:val="single"/>
          <w:lang w:val="en-US" w:eastAsia="zh-CN"/>
        </w:rPr>
        <w:t xml:space="preserve">  2 </w:t>
      </w:r>
      <w:r>
        <w:rPr>
          <w:rFonts w:hint="eastAsia" w:asciiTheme="minorEastAsia" w:hAnsiTheme="minorEastAsia" w:eastAsiaTheme="minorEastAsia"/>
          <w:bCs/>
          <w:color w:val="FF0000"/>
          <w:szCs w:val="22"/>
        </w:rPr>
        <w:t>年</w:t>
      </w:r>
      <w:r>
        <w:rPr>
          <w:rFonts w:hint="eastAsia" w:asciiTheme="minorEastAsia" w:hAnsiTheme="minorEastAsia" w:eastAsiaTheme="minorEastAsia"/>
          <w:bCs/>
          <w:szCs w:val="22"/>
        </w:rPr>
        <w:t>(附原厂售后承诺书)，终身维修，厂家应在中国大陆境内设有可受理售后服务事务的生产厂家全国统一的免费服务专线电话，如400或800服务电话等。</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4.若设备出现故障，供应商在接报时刻起24小时内派工程师到达医院进行维修并排除故障，如需更换故障配件(保险期内、外)的，零配件供应最长不超过2周，需提供完善的售后维修及保障。</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5</w:t>
      </w:r>
      <w:r>
        <w:rPr>
          <w:rFonts w:hint="eastAsia" w:asciiTheme="minorEastAsia" w:hAnsiTheme="minorEastAsia" w:eastAsiaTheme="minorEastAsia"/>
          <w:bCs/>
          <w:szCs w:val="22"/>
        </w:rPr>
        <w:t>.交货地点：</w:t>
      </w:r>
      <w:r>
        <w:rPr>
          <w:rFonts w:hint="eastAsia" w:asciiTheme="minorEastAsia" w:hAnsiTheme="minorEastAsia" w:eastAsiaTheme="minorEastAsia"/>
          <w:bCs/>
          <w:szCs w:val="22"/>
          <w:lang w:eastAsia="zh-CN"/>
        </w:rPr>
        <w:t>益阳市妇幼保健院</w:t>
      </w:r>
      <w:r>
        <w:rPr>
          <w:rFonts w:hint="eastAsia" w:asciiTheme="minorEastAsia" w:hAnsiTheme="minorEastAsia" w:eastAsiaTheme="minorEastAsia"/>
          <w:bCs/>
          <w:szCs w:val="22"/>
        </w:rPr>
        <w:t>。</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6</w:t>
      </w:r>
      <w:r>
        <w:rPr>
          <w:rFonts w:hint="eastAsia" w:asciiTheme="minorEastAsia" w:hAnsiTheme="minorEastAsia" w:eastAsiaTheme="minorEastAsia"/>
          <w:bCs/>
          <w:szCs w:val="22"/>
        </w:rPr>
        <w:t>.付款方式：</w:t>
      </w:r>
      <w:r>
        <w:rPr>
          <w:rFonts w:hint="eastAsia" w:asciiTheme="minorEastAsia" w:hAnsiTheme="minorEastAsia" w:eastAsiaTheme="minorEastAsia"/>
          <w:bCs/>
          <w:color w:val="FF0000"/>
          <w:szCs w:val="22"/>
        </w:rPr>
        <w:t>采购人与中选供应商合同签订时另行约定。</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7</w:t>
      </w:r>
      <w:r>
        <w:rPr>
          <w:rFonts w:hint="eastAsia" w:asciiTheme="minorEastAsia" w:hAnsiTheme="minorEastAsia" w:eastAsiaTheme="minorEastAsia"/>
          <w:bCs/>
          <w:szCs w:val="22"/>
        </w:rPr>
        <w:t>.违约责任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（1）中选供应商延期交货，每延期一天，按延期交付的货物总额0.5%交付违约金，最多不超过延期交付的货物总额的10%。</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（2）中选供应商所提供的货物规格、质量等不符合合同规定标准的，采购人有权拒收，而中选供应商应及时予以更换，并承担由此而发生的一切费用。</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9.其他未尽事项，由采购人与中选供应商合同签订时另行约定。</w:t>
      </w:r>
    </w:p>
    <w:p>
      <w:pPr>
        <w:widowControl/>
        <w:adjustRightInd/>
        <w:spacing w:line="240" w:lineRule="auto"/>
        <w:jc w:val="left"/>
        <w:textAlignment w:val="auto"/>
        <w:rPr>
          <w:rFonts w:asciiTheme="minorEastAsia" w:hAnsiTheme="minorEastAsia" w:eastAsiaTheme="minorEastAsia"/>
        </w:rPr>
      </w:pPr>
    </w:p>
    <w:p>
      <w:pPr>
        <w:rPr>
          <w:rFonts w:asciiTheme="minorEastAsia" w:hAnsiTheme="minorEastAsia" w:eastAsiaTheme="minorEastAsia"/>
        </w:rPr>
      </w:pPr>
      <w:bookmarkStart w:id="21" w:name="_Toc49019228"/>
      <w:bookmarkStart w:id="22" w:name="_Toc47416189"/>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540" w:firstLineChars="350"/>
        <w:rPr>
          <w:rFonts w:asciiTheme="minorEastAsia" w:hAnsiTheme="minorEastAsia" w:eastAsiaTheme="minorEastAsia"/>
          <w:b w:val="0"/>
        </w:rPr>
      </w:pPr>
      <w:bookmarkStart w:id="23" w:name="_Toc531213463"/>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540" w:firstLineChars="350"/>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pStyle w:val="2"/>
        <w:spacing w:line="440" w:lineRule="exact"/>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pStyle w:val="2"/>
        <w:spacing w:line="440" w:lineRule="exact"/>
        <w:ind w:firstLine="1540" w:firstLineChars="350"/>
        <w:rPr>
          <w:rFonts w:asciiTheme="minorEastAsia" w:hAnsiTheme="minorEastAsia" w:eastAsiaTheme="minorEastAsia"/>
          <w:b w:val="0"/>
        </w:rPr>
      </w:pPr>
    </w:p>
    <w:p>
      <w:pPr>
        <w:pStyle w:val="2"/>
        <w:spacing w:line="440" w:lineRule="exact"/>
        <w:ind w:firstLine="1540" w:firstLineChars="350"/>
        <w:rPr>
          <w:rFonts w:asciiTheme="minorEastAsia" w:hAnsiTheme="minorEastAsia" w:eastAsiaTheme="minorEastAsia"/>
          <w:b w:val="0"/>
        </w:rPr>
      </w:pPr>
      <w:r>
        <w:rPr>
          <w:rFonts w:hint="eastAsia" w:asciiTheme="minorEastAsia" w:hAnsiTheme="minorEastAsia" w:eastAsiaTheme="minorEastAsia"/>
          <w:b w:val="0"/>
        </w:rPr>
        <w:t>第三章  响应文件格式</w:t>
      </w:r>
      <w:bookmarkEnd w:id="21"/>
      <w:bookmarkEnd w:id="22"/>
      <w:bookmarkEnd w:id="23"/>
    </w:p>
    <w:p>
      <w:pPr>
        <w:pStyle w:val="2"/>
        <w:spacing w:line="440" w:lineRule="exact"/>
        <w:jc w:val="center"/>
        <w:rPr>
          <w:rFonts w:asciiTheme="minorEastAsia" w:hAnsiTheme="minorEastAsia" w:eastAsiaTheme="minorEastAsia"/>
          <w:b w:val="0"/>
        </w:rPr>
      </w:pPr>
      <w:r>
        <w:rPr>
          <w:rFonts w:hint="eastAsia" w:asciiTheme="minorEastAsia" w:hAnsiTheme="minorEastAsia" w:eastAsiaTheme="minorEastAsia"/>
          <w:b w:val="0"/>
        </w:rPr>
        <w:t>（纸质响应文件数量：正本1份、副本2份）</w:t>
      </w:r>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p>
    <w:p>
      <w:pPr>
        <w:pStyle w:val="4"/>
        <w:spacing w:line="440" w:lineRule="exact"/>
        <w:rPr>
          <w:rFonts w:asciiTheme="minorEastAsia" w:hAnsiTheme="minorEastAsia" w:eastAsiaTheme="minorEastAsia"/>
          <w:sz w:val="32"/>
        </w:rPr>
      </w:pPr>
      <w:bookmarkStart w:id="24" w:name="_Toc47261683"/>
      <w:bookmarkStart w:id="25" w:name="_Toc531213464"/>
      <w:bookmarkStart w:id="26" w:name="_Toc47261878"/>
      <w:bookmarkStart w:id="27" w:name="_Toc48995844"/>
      <w:bookmarkStart w:id="28" w:name="_Toc48791228"/>
      <w:bookmarkStart w:id="29" w:name="_Toc49019229"/>
      <w:bookmarkStart w:id="30" w:name="_Toc47418724"/>
      <w:bookmarkStart w:id="31" w:name="_Toc47262062"/>
      <w:bookmarkStart w:id="32" w:name="_Toc47418248"/>
      <w:bookmarkStart w:id="33" w:name="_Toc47418931"/>
      <w:r>
        <w:rPr>
          <w:rFonts w:hint="eastAsia" w:asciiTheme="minorEastAsia" w:hAnsiTheme="minorEastAsia" w:eastAsiaTheme="minorEastAsia"/>
          <w:sz w:val="32"/>
        </w:rPr>
        <w:t>1、响应函格式</w:t>
      </w:r>
      <w:bookmarkEnd w:id="24"/>
      <w:bookmarkEnd w:id="25"/>
      <w:bookmarkEnd w:id="26"/>
      <w:bookmarkEnd w:id="27"/>
      <w:bookmarkEnd w:id="28"/>
      <w:bookmarkEnd w:id="29"/>
      <w:bookmarkEnd w:id="30"/>
      <w:bookmarkEnd w:id="31"/>
      <w:bookmarkEnd w:id="32"/>
      <w:bookmarkEnd w:id="3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w:t>
      </w:r>
      <w:r>
        <w:rPr>
          <w:rFonts w:hint="eastAsia" w:asciiTheme="minorEastAsia" w:hAnsiTheme="minorEastAsia" w:eastAsiaTheme="minorEastAsia"/>
          <w:b/>
          <w:bCs/>
        </w:rPr>
        <w:t>正本一份、副本两份</w:t>
      </w:r>
      <w:r>
        <w:rPr>
          <w:rFonts w:hint="eastAsia" w:asciiTheme="minorEastAsia" w:hAnsiTheme="minorEastAsia" w:eastAsiaTheme="minorEastAsia"/>
        </w:rPr>
        <w:t>。</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技术</w:t>
      </w:r>
      <w:r>
        <w:rPr>
          <w:rFonts w:hint="eastAsia" w:asciiTheme="minorEastAsia" w:hAnsiTheme="minorEastAsia" w:eastAsiaTheme="minorEastAsia"/>
          <w:lang w:eastAsia="zh-CN"/>
        </w:rPr>
        <w:t>、商务</w:t>
      </w:r>
      <w:r>
        <w:rPr>
          <w:rFonts w:hint="eastAsia" w:asciiTheme="minorEastAsia" w:hAnsiTheme="minorEastAsia" w:eastAsiaTheme="minorEastAsia"/>
        </w:rPr>
        <w:t>要求偏离表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法定代表人身份证明、法定代表人授权委托书、营业执照</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其他内容</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所附报价表中规定的应提交和交付的货物总价为</w:t>
      </w:r>
      <w:r>
        <w:rPr>
          <w:rFonts w:hint="eastAsia" w:asciiTheme="minorEastAsia" w:hAnsiTheme="minorEastAsia" w:eastAsiaTheme="minorEastAsia"/>
          <w:u w:val="single"/>
        </w:rPr>
        <w:t>人民币        元</w:t>
      </w:r>
      <w:r>
        <w:rPr>
          <w:rFonts w:hint="eastAsia" w:asciiTheme="minorEastAsia" w:hAnsiTheme="minorEastAsia" w:eastAsiaTheme="minorEastAsia"/>
        </w:rPr>
        <w:t>。</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地址：</w:t>
            </w:r>
          </w:p>
          <w:p>
            <w:pPr>
              <w:spacing w:line="440" w:lineRule="exact"/>
              <w:rPr>
                <w:rFonts w:asciiTheme="minorEastAsia" w:hAnsiTheme="minorEastAsia" w:eastAsiaTheme="minorEastAsia"/>
              </w:rPr>
            </w:pPr>
            <w:r>
              <w:rPr>
                <w:rFonts w:hint="eastAsia" w:asciiTheme="minorEastAsia" w:hAnsiTheme="minorEastAsia" w:eastAsiaTheme="minorEastAsia"/>
              </w:rPr>
              <w:t>电话：</w:t>
            </w:r>
          </w:p>
        </w:tc>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传真：</w:t>
            </w:r>
          </w:p>
          <w:p>
            <w:pPr>
              <w:spacing w:line="440" w:lineRule="exact"/>
              <w:rPr>
                <w:rFonts w:asciiTheme="minorEastAsia" w:hAnsiTheme="minorEastAsia" w:eastAsiaTheme="minorEastAsia"/>
              </w:rPr>
            </w:pPr>
            <w:r>
              <w:rPr>
                <w:rFonts w:hint="eastAsia" w:asciiTheme="minorEastAsia" w:hAnsiTheme="minorEastAsia" w:eastAsiaTheme="minorEastAsia"/>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9"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4" w:name="_Toc47261684"/>
      <w:bookmarkStart w:id="35" w:name="_Toc47262063"/>
      <w:bookmarkStart w:id="36" w:name="_Toc48995845"/>
      <w:bookmarkStart w:id="37" w:name="_Toc47418932"/>
      <w:bookmarkStart w:id="38" w:name="_Toc47261879"/>
      <w:bookmarkStart w:id="39" w:name="_Toc531213465"/>
      <w:bookmarkStart w:id="40" w:name="_Toc47418249"/>
      <w:bookmarkStart w:id="41" w:name="_Toc48791229"/>
      <w:bookmarkStart w:id="42" w:name="_Toc49019230"/>
      <w:bookmarkStart w:id="43" w:name="_Toc47418725"/>
      <w:r>
        <w:rPr>
          <w:rFonts w:hint="eastAsia" w:asciiTheme="minorEastAsia" w:hAnsiTheme="minorEastAsia" w:eastAsiaTheme="minorEastAsia"/>
          <w:sz w:val="32"/>
        </w:rPr>
        <w:t>2、报价一览表格式</w:t>
      </w:r>
      <w:bookmarkEnd w:id="34"/>
      <w:bookmarkEnd w:id="35"/>
      <w:bookmarkEnd w:id="36"/>
      <w:bookmarkEnd w:id="37"/>
      <w:bookmarkEnd w:id="38"/>
      <w:bookmarkEnd w:id="39"/>
      <w:bookmarkEnd w:id="40"/>
      <w:bookmarkEnd w:id="41"/>
      <w:bookmarkEnd w:id="42"/>
      <w:bookmarkEnd w:id="4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928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67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项目名称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货物名称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数量</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报价</w:t>
            </w:r>
          </w:p>
        </w:tc>
        <w:tc>
          <w:tcPr>
            <w:tcW w:w="6740" w:type="dxa"/>
            <w:tcBorders>
              <w:tl2br w:val="nil"/>
              <w:tr2bl w:val="nil"/>
            </w:tcBorders>
            <w:shd w:val="clear" w:color="auto" w:fill="auto"/>
            <w:vAlign w:val="center"/>
          </w:tcPr>
          <w:p>
            <w:pPr>
              <w:rPr>
                <w:kern w:val="2"/>
              </w:rPr>
            </w:pPr>
            <w:r>
              <w:rPr>
                <w:kern w:val="2"/>
              </w:rPr>
              <w:t>大写：人民币</w:t>
            </w:r>
            <w:r>
              <w:rPr>
                <w:rFonts w:hint="eastAsia"/>
                <w:kern w:val="2"/>
                <w:lang w:val="en-US" w:eastAsia="zh-CN"/>
              </w:rPr>
              <w:t xml:space="preserve">       </w:t>
            </w:r>
            <w:r>
              <w:rPr>
                <w:kern w:val="2"/>
              </w:rPr>
              <w:t>元</w:t>
            </w:r>
          </w:p>
          <w:p>
            <w:pPr>
              <w:rPr>
                <w:kern w:val="2"/>
              </w:rPr>
            </w:pPr>
            <w:r>
              <w:rPr>
                <w:kern w:val="2"/>
              </w:rPr>
              <w:t>小写：人民币</w:t>
            </w:r>
            <w:r>
              <w:rPr>
                <w:rFonts w:hint="eastAsia"/>
                <w:kern w:val="2"/>
                <w:lang w:val="en-US" w:eastAsia="zh-CN"/>
              </w:rPr>
              <w:t xml:space="preserve">       </w:t>
            </w:r>
            <w:r>
              <w:rPr>
                <w:kern w:val="2"/>
              </w:rPr>
              <w:t>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声明</w:t>
            </w:r>
          </w:p>
        </w:tc>
        <w:tc>
          <w:tcPr>
            <w:tcW w:w="6740" w:type="dxa"/>
            <w:tcBorders>
              <w:tl2br w:val="nil"/>
              <w:tr2bl w:val="nil"/>
            </w:tcBorders>
            <w:shd w:val="clear" w:color="auto" w:fill="auto"/>
            <w:vAlign w:val="center"/>
          </w:tcPr>
          <w:p>
            <w:pPr>
              <w:pStyle w:val="44"/>
              <w:spacing w:line="360" w:lineRule="auto"/>
              <w:rPr>
                <w:rFonts w:ascii="宋体" w:hAnsi="宋体" w:cs="宋体"/>
                <w:color w:val="000000"/>
                <w:spacing w:val="20"/>
                <w:kern w:val="2"/>
                <w:szCs w:val="21"/>
              </w:rPr>
            </w:pPr>
          </w:p>
        </w:tc>
      </w:tr>
    </w:tbl>
    <w:p>
      <w:pPr>
        <w:rPr>
          <w:rFonts w:asciiTheme="minorEastAsia" w:hAnsiTheme="minorEastAsia" w:eastAsiaTheme="minorEastAsia"/>
        </w:rPr>
      </w:pPr>
      <w:r>
        <w:rPr>
          <w:rFonts w:hint="eastAsia" w:asciiTheme="minorEastAsia" w:hAnsiTheme="minorEastAsia" w:eastAsiaTheme="minorEastAsia"/>
          <w:szCs w:val="21"/>
        </w:rPr>
        <w:t>注：报价不能超过</w:t>
      </w:r>
      <w:r>
        <w:rPr>
          <w:rFonts w:hint="eastAsia" w:cs="宋体"/>
          <w:kern w:val="2"/>
        </w:rPr>
        <w:t>预算价格，且</w:t>
      </w:r>
      <w:r>
        <w:t>包括出厂价、货物到达最终目的地点的相关运输费、保险、进口环节税、商检费、消费税、增值税、仓储、装卸费、安装、检测、利润、税金、人员培训等伴随服务费</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spacing w:line="440" w:lineRule="exact"/>
        <w:ind w:firstLine="525" w:firstLineChars="250"/>
        <w:rPr>
          <w:rFonts w:asciiTheme="minorEastAsia" w:hAnsiTheme="minorEastAsia" w:eastAsiaTheme="minorEastAsia"/>
        </w:rPr>
      </w:pPr>
      <w:r>
        <w:rPr>
          <w:rFonts w:asciiTheme="minorEastAsia" w:hAnsiTheme="minorEastAsia" w:eastAsiaTheme="minorEastAsia"/>
          <w:szCs w:val="24"/>
        </w:rPr>
        <w:br w:type="page"/>
      </w:r>
    </w:p>
    <w:p>
      <w:pPr>
        <w:pStyle w:val="4"/>
        <w:spacing w:line="440" w:lineRule="exact"/>
        <w:rPr>
          <w:rFonts w:asciiTheme="minorEastAsia" w:hAnsiTheme="minorEastAsia" w:eastAsiaTheme="minorEastAsia"/>
          <w:sz w:val="32"/>
        </w:rPr>
      </w:pPr>
      <w:bookmarkStart w:id="44" w:name="_Toc48995848"/>
      <w:bookmarkStart w:id="45" w:name="_Toc48791232"/>
      <w:bookmarkStart w:id="46" w:name="_Toc47261882"/>
      <w:bookmarkStart w:id="47" w:name="_Toc47261687"/>
      <w:bookmarkStart w:id="48" w:name="_Toc47418728"/>
      <w:bookmarkStart w:id="49" w:name="_Toc47418252"/>
      <w:bookmarkStart w:id="50" w:name="_Toc531213468"/>
      <w:bookmarkStart w:id="51" w:name="_Toc49019233"/>
      <w:bookmarkStart w:id="52" w:name="_Toc47262066"/>
      <w:bookmarkStart w:id="53" w:name="_Toc47418935"/>
      <w:r>
        <w:rPr>
          <w:rFonts w:hint="eastAsia" w:asciiTheme="minorEastAsia" w:hAnsiTheme="minorEastAsia" w:eastAsiaTheme="minorEastAsia"/>
          <w:sz w:val="32"/>
        </w:rPr>
        <w:t>3、技术</w:t>
      </w:r>
      <w:r>
        <w:rPr>
          <w:rFonts w:hint="eastAsia" w:asciiTheme="minorEastAsia" w:hAnsiTheme="minorEastAsia" w:eastAsiaTheme="minorEastAsia"/>
          <w:sz w:val="32"/>
          <w:lang w:eastAsia="zh-CN"/>
        </w:rPr>
        <w:t>、商务</w:t>
      </w:r>
      <w:r>
        <w:rPr>
          <w:rFonts w:hint="eastAsia" w:asciiTheme="minorEastAsia" w:hAnsiTheme="minorEastAsia" w:eastAsiaTheme="minorEastAsia"/>
          <w:sz w:val="32"/>
        </w:rPr>
        <w:t>要求偏离表格式</w:t>
      </w:r>
      <w:bookmarkEnd w:id="44"/>
      <w:bookmarkEnd w:id="45"/>
      <w:bookmarkEnd w:id="46"/>
      <w:bookmarkEnd w:id="47"/>
      <w:bookmarkEnd w:id="48"/>
      <w:bookmarkEnd w:id="49"/>
      <w:bookmarkEnd w:id="50"/>
      <w:bookmarkEnd w:id="51"/>
      <w:bookmarkEnd w:id="52"/>
      <w:bookmarkEnd w:id="53"/>
    </w:p>
    <w:p>
      <w:pPr>
        <w:spacing w:line="440" w:lineRule="exact"/>
        <w:rPr>
          <w:rFonts w:asciiTheme="minorEastAsia" w:hAnsiTheme="minorEastAsia" w:eastAsiaTheme="minorEastAsia"/>
        </w:rPr>
      </w:pPr>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w:t>
      </w:r>
      <w:r>
        <w:rPr>
          <w:rFonts w:hint="eastAsia" w:asciiTheme="minorEastAsia" w:hAnsiTheme="minorEastAsia" w:eastAsiaTheme="minorEastAsia"/>
          <w:b/>
          <w:bCs/>
          <w:sz w:val="24"/>
          <w:szCs w:val="24"/>
          <w:lang w:eastAsia="zh-CN"/>
        </w:rPr>
        <w:t>、商务</w:t>
      </w:r>
      <w:r>
        <w:rPr>
          <w:rFonts w:hint="eastAsia" w:asciiTheme="minorEastAsia" w:hAnsiTheme="minorEastAsia" w:eastAsiaTheme="minorEastAsia"/>
          <w:b/>
          <w:bCs/>
          <w:sz w:val="24"/>
          <w:szCs w:val="24"/>
        </w:rPr>
        <w:t>要求偏离表</w:t>
      </w:r>
    </w:p>
    <w:p>
      <w:pPr>
        <w:spacing w:line="440" w:lineRule="exact"/>
        <w:jc w:val="center"/>
        <w:rPr>
          <w:rFonts w:asciiTheme="minorEastAsia" w:hAnsiTheme="minorEastAsia" w:eastAsiaTheme="minorEastAsia"/>
          <w:b/>
          <w:bCs/>
        </w:rPr>
      </w:pPr>
    </w:p>
    <w:p>
      <w:pPr>
        <w:spacing w:line="440" w:lineRule="exact"/>
        <w:ind w:firstLine="315" w:firstLineChars="150"/>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386"/>
        <w:gridCol w:w="1218"/>
        <w:gridCol w:w="1218"/>
        <w:gridCol w:w="115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1440"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货物名称</w:t>
            </w:r>
          </w:p>
        </w:tc>
        <w:tc>
          <w:tcPr>
            <w:tcW w:w="13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采购文件</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条目号</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152"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响应/</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偏离</w:t>
            </w:r>
          </w:p>
        </w:tc>
        <w:tc>
          <w:tcPr>
            <w:tcW w:w="12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bl>
    <w:p>
      <w:pPr>
        <w:spacing w:line="440" w:lineRule="exact"/>
        <w:ind w:firstLine="210" w:firstLineChars="100"/>
        <w:rPr>
          <w:rFonts w:asciiTheme="minorEastAsia" w:hAnsiTheme="minorEastAsia" w:eastAsiaTheme="minorEastAsia"/>
        </w:rPr>
      </w:pPr>
      <w:r>
        <w:rPr>
          <w:rFonts w:hint="eastAsia" w:asciiTheme="minorEastAsia" w:hAnsiTheme="minorEastAsia" w:eastAsiaTheme="minorEastAsia"/>
        </w:rPr>
        <w:t>供应商代表签字：                 供应商公章：</w:t>
      </w:r>
    </w:p>
    <w:p>
      <w:pPr>
        <w:pStyle w:val="10"/>
        <w:ind w:firstLine="241" w:firstLineChars="100"/>
        <w:rPr>
          <w:rFonts w:asciiTheme="minorEastAsia" w:hAnsiTheme="minorEastAsia" w:eastAsiaTheme="minorEastAsia"/>
          <w:b/>
        </w:rPr>
      </w:pPr>
    </w:p>
    <w:p>
      <w:pPr>
        <w:spacing w:line="440" w:lineRule="exact"/>
        <w:rPr>
          <w:rFonts w:asciiTheme="minorEastAsia" w:hAnsiTheme="minorEastAsia" w:eastAsiaTheme="minorEastAsia"/>
        </w:rPr>
      </w:pPr>
    </w:p>
    <w:p>
      <w:pPr>
        <w:rPr>
          <w:rFonts w:asciiTheme="minorEastAsia" w:hAnsiTheme="minorEastAsia" w:eastAsiaTheme="minorEastAsia"/>
          <w:sz w:val="32"/>
        </w:rPr>
      </w:pPr>
      <w:bookmarkStart w:id="54" w:name="_Toc47418939"/>
      <w:bookmarkStart w:id="55" w:name="_Toc47418256"/>
      <w:bookmarkStart w:id="56" w:name="_Toc47418732"/>
      <w:bookmarkStart w:id="57" w:name="_Toc531213469"/>
      <w:bookmarkStart w:id="58" w:name="_Toc47261886"/>
      <w:bookmarkStart w:id="59" w:name="_Toc49019237"/>
      <w:bookmarkStart w:id="60" w:name="_Toc47262070"/>
      <w:bookmarkStart w:id="61" w:name="_Toc48995852"/>
      <w:bookmarkStart w:id="62" w:name="_Toc48791236"/>
      <w:bookmarkStart w:id="63" w:name="_Toc47261691"/>
      <w:r>
        <w:rPr>
          <w:rFonts w:hint="eastAsia" w:asciiTheme="minorEastAsia" w:hAnsiTheme="minorEastAsia" w:eastAsiaTheme="minorEastAsia"/>
          <w:sz w:val="32"/>
        </w:rPr>
        <w:br w:type="page"/>
      </w:r>
    </w:p>
    <w:bookmarkEnd w:id="54"/>
    <w:bookmarkEnd w:id="55"/>
    <w:bookmarkEnd w:id="56"/>
    <w:bookmarkEnd w:id="57"/>
    <w:bookmarkEnd w:id="58"/>
    <w:bookmarkEnd w:id="59"/>
    <w:bookmarkEnd w:id="60"/>
    <w:bookmarkEnd w:id="61"/>
    <w:bookmarkEnd w:id="62"/>
    <w:bookmarkEnd w:id="63"/>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4-1  法定代表人身份证明、法定代表人授权委托书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成立时间：年月日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年月日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pStyle w:val="4"/>
        <w:spacing w:line="440" w:lineRule="exact"/>
        <w:jc w:val="center"/>
        <w:rPr>
          <w:rFonts w:asciiTheme="minorEastAsia" w:hAnsiTheme="minorEastAsia" w:eastAsiaTheme="minorEastAsia"/>
          <w:sz w:val="32"/>
        </w:rPr>
      </w:pPr>
      <w:r>
        <w:rPr>
          <w:rFonts w:hint="eastAsia" w:asciiTheme="minorEastAsia" w:hAnsiTheme="minorEastAsia" w:eastAsiaTheme="minorEastAsia"/>
          <w:sz w:val="32"/>
        </w:rPr>
        <w:t>4-2  营业执照</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rPr>
          <w:rFonts w:asciiTheme="minorEastAsia" w:hAnsiTheme="minorEastAsia" w:eastAsiaTheme="minorEastAsia"/>
          <w:sz w:val="32"/>
        </w:rPr>
      </w:pPr>
      <w:bookmarkStart w:id="64" w:name="_Toc531213470"/>
    </w:p>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5、伴随</w:t>
      </w:r>
      <w:r>
        <w:rPr>
          <w:rFonts w:asciiTheme="minorEastAsia" w:hAnsiTheme="minorEastAsia" w:eastAsiaTheme="minorEastAsia"/>
          <w:sz w:val="32"/>
        </w:rPr>
        <w:t>服务承诺书</w:t>
      </w:r>
      <w:bookmarkEnd w:id="64"/>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供应商应</w:t>
      </w:r>
      <w:r>
        <w:rPr>
          <w:rFonts w:hint="eastAsia" w:asciiTheme="minorEastAsia" w:hAnsiTheme="minorEastAsia" w:eastAsiaTheme="minorEastAsia"/>
        </w:rPr>
        <w:t>根据所投产品实际情况自行提供本项目所需的伴随服务</w:t>
      </w:r>
      <w:r>
        <w:rPr>
          <w:rFonts w:hint="eastAsia"/>
        </w:rPr>
        <w:t>承诺书</w:t>
      </w:r>
      <w:r>
        <w:rPr>
          <w:rFonts w:hint="eastAsia" w:asciiTheme="minorEastAsia" w:hAnsiTheme="minorEastAsia" w:eastAsiaTheme="minorEastAsia"/>
        </w:rPr>
        <w:t>，内容包括但不限于</w:t>
      </w:r>
      <w:r>
        <w:rPr>
          <w:rFonts w:asciiTheme="minorEastAsia" w:hAnsiTheme="minorEastAsia" w:eastAsiaTheme="minorEastAsia"/>
        </w:rPr>
        <w:t>备品备件</w:t>
      </w:r>
      <w:r>
        <w:rPr>
          <w:rFonts w:hint="eastAsia" w:asciiTheme="minorEastAsia" w:hAnsiTheme="minorEastAsia" w:eastAsiaTheme="minorEastAsia"/>
        </w:rPr>
        <w:t>、</w:t>
      </w:r>
      <w:r>
        <w:rPr>
          <w:rFonts w:asciiTheme="minorEastAsia" w:hAnsiTheme="minorEastAsia" w:eastAsiaTheme="minorEastAsia"/>
        </w:rPr>
        <w:t>人员培训</w:t>
      </w:r>
      <w:r>
        <w:rPr>
          <w:rFonts w:hint="eastAsia" w:asciiTheme="minorEastAsia" w:hAnsiTheme="minorEastAsia" w:eastAsiaTheme="minorEastAsia"/>
        </w:rPr>
        <w:t>、</w:t>
      </w:r>
      <w:r>
        <w:rPr>
          <w:rFonts w:asciiTheme="minorEastAsia" w:hAnsiTheme="minorEastAsia" w:eastAsiaTheme="minorEastAsia"/>
        </w:rPr>
        <w:t>售后服务</w:t>
      </w:r>
      <w:r>
        <w:rPr>
          <w:rFonts w:hint="eastAsia" w:asciiTheme="minorEastAsia" w:hAnsiTheme="minorEastAsia" w:eastAsiaTheme="minorEastAsia"/>
        </w:rPr>
        <w:t>等</w:t>
      </w:r>
      <w:r>
        <w:rPr>
          <w:rFonts w:asciiTheme="minorEastAsia" w:hAnsiTheme="minorEastAsia" w:eastAsiaTheme="minorEastAsia"/>
        </w:rPr>
        <w:t>内容。</w:t>
      </w:r>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5" w:name="_Toc531213471"/>
      <w:r>
        <w:rPr>
          <w:rFonts w:hint="eastAsia" w:asciiTheme="minorEastAsia" w:hAnsiTheme="minorEastAsia" w:eastAsiaTheme="minorEastAsia"/>
          <w:sz w:val="32"/>
        </w:rPr>
        <w:t>6、</w:t>
      </w:r>
      <w:r>
        <w:rPr>
          <w:rFonts w:asciiTheme="minorEastAsia" w:hAnsiTheme="minorEastAsia" w:eastAsiaTheme="minorEastAsia"/>
          <w:sz w:val="32"/>
        </w:rPr>
        <w:t>主要用户、业绩表</w:t>
      </w:r>
      <w:bookmarkEnd w:id="65"/>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6"/>
        <w:gridCol w:w="1327"/>
        <w:gridCol w:w="1327"/>
        <w:gridCol w:w="1327"/>
        <w:gridCol w:w="1326"/>
        <w:gridCol w:w="1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序号</w:t>
            </w:r>
          </w:p>
        </w:tc>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时间</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用户名称</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货物型号</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数 量</w:t>
            </w:r>
          </w:p>
        </w:tc>
        <w:tc>
          <w:tcPr>
            <w:tcW w:w="1326" w:type="dxa"/>
            <w:vAlign w:val="center"/>
          </w:tcPr>
          <w:p>
            <w:pPr>
              <w:jc w:val="center"/>
              <w:rPr>
                <w:rFonts w:asciiTheme="minorEastAsia" w:hAnsiTheme="minorEastAsia" w:eastAsiaTheme="minorEastAsia"/>
              </w:rPr>
            </w:pPr>
            <w:r>
              <w:rPr>
                <w:rFonts w:hint="eastAsia" w:asciiTheme="minorEastAsia" w:hAnsiTheme="minorEastAsia" w:eastAsiaTheme="minorEastAsia"/>
              </w:rPr>
              <w:t>科室主任</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bl>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6" w:name="_Toc531213472"/>
      <w:r>
        <w:rPr>
          <w:rFonts w:hint="eastAsia" w:asciiTheme="minorEastAsia" w:hAnsiTheme="minorEastAsia" w:eastAsiaTheme="minorEastAsia"/>
          <w:sz w:val="32"/>
        </w:rPr>
        <w:t>7、响应性技术资料</w:t>
      </w:r>
      <w:bookmarkEnd w:id="66"/>
    </w:p>
    <w:p>
      <w:pPr>
        <w:rPr>
          <w:rFonts w:asciiTheme="minorEastAsia" w:hAnsiTheme="minorEastAsia" w:eastAsiaTheme="minorEastAsia"/>
          <w:sz w:val="32"/>
        </w:rPr>
      </w:pPr>
      <w:r>
        <w:rPr>
          <w:rFonts w:hint="eastAsia" w:asciiTheme="minorEastAsia" w:hAnsiTheme="minorEastAsia" w:eastAsiaTheme="minorEastAsia"/>
          <w:sz w:val="32"/>
        </w:rPr>
        <w:br w:type="page"/>
      </w: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67" w:name="_Toc47416201"/>
      <w:bookmarkStart w:id="68" w:name="_Toc49019240"/>
      <w:bookmarkStart w:id="69" w:name="_Toc47415947"/>
      <w:bookmarkStart w:id="70" w:name="_Toc531213473"/>
      <w:r>
        <w:rPr>
          <w:rFonts w:hint="eastAsia" w:asciiTheme="minorEastAsia" w:hAnsiTheme="minorEastAsia" w:eastAsiaTheme="minorEastAsia"/>
          <w:b w:val="0"/>
        </w:rPr>
        <w:t>第四章  评审</w:t>
      </w:r>
      <w:bookmarkEnd w:id="67"/>
      <w:bookmarkEnd w:id="68"/>
      <w:bookmarkEnd w:id="69"/>
      <w:r>
        <w:rPr>
          <w:rFonts w:hint="eastAsia" w:asciiTheme="minorEastAsia" w:hAnsiTheme="minorEastAsia" w:eastAsiaTheme="minorEastAsia"/>
          <w:b w:val="0"/>
        </w:rPr>
        <w:t>办法</w:t>
      </w:r>
      <w:bookmarkEnd w:id="70"/>
    </w:p>
    <w:p>
      <w:pPr>
        <w:pStyle w:val="39"/>
        <w:spacing w:after="156"/>
        <w:rPr>
          <w:rFonts w:asciiTheme="minorEastAsia" w:hAnsiTheme="minorEastAsia" w:eastAsiaTheme="minorEastAsia"/>
        </w:rPr>
      </w:pPr>
      <w:r>
        <w:rPr>
          <w:rFonts w:asciiTheme="minorEastAsia" w:hAnsiTheme="minorEastAsia" w:eastAsiaTheme="minorEastAsia"/>
          <w:sz w:val="24"/>
          <w:szCs w:val="24"/>
        </w:rPr>
        <w:br w:type="page"/>
      </w:r>
      <w:bookmarkStart w:id="71" w:name="_Toc20651994"/>
      <w:bookmarkStart w:id="72" w:name="_Toc34423570"/>
      <w:bookmarkStart w:id="73" w:name="_Toc24239438"/>
      <w:bookmarkStart w:id="74" w:name="_Toc34423573"/>
      <w:r>
        <w:rPr>
          <w:rFonts w:hint="eastAsia" w:asciiTheme="minorEastAsia" w:hAnsiTheme="minorEastAsia" w:eastAsiaTheme="minorEastAsia"/>
        </w:rPr>
        <w:t>评</w:t>
      </w:r>
      <w:bookmarkEnd w:id="71"/>
      <w:bookmarkEnd w:id="72"/>
      <w:bookmarkEnd w:id="73"/>
      <w:r>
        <w:rPr>
          <w:rFonts w:hint="eastAsia" w:asciiTheme="minorEastAsia" w:hAnsiTheme="minorEastAsia" w:eastAsiaTheme="minorEastAsia"/>
        </w:rPr>
        <w:t xml:space="preserve"> 审 办 法</w:t>
      </w:r>
    </w:p>
    <w:p>
      <w:pPr>
        <w:pStyle w:val="39"/>
        <w:spacing w:after="156"/>
        <w:rPr>
          <w:rFonts w:asciiTheme="minorEastAsia" w:hAnsiTheme="minorEastAsia" w:eastAsiaTheme="minorEastAsia"/>
        </w:rPr>
      </w:pPr>
    </w:p>
    <w:bookmarkEnd w:id="74"/>
    <w:p>
      <w:pPr>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一、</w:t>
      </w:r>
      <w:r>
        <w:rPr>
          <w:b/>
        </w:rPr>
        <w:t>评</w:t>
      </w:r>
      <w:r>
        <w:rPr>
          <w:rFonts w:hint="eastAsia"/>
          <w:b/>
        </w:rPr>
        <w:t>审</w:t>
      </w:r>
      <w:r>
        <w:rPr>
          <w:b/>
        </w:rPr>
        <w:t>原则及评</w:t>
      </w:r>
      <w:r>
        <w:rPr>
          <w:rFonts w:hint="eastAsia"/>
          <w:b/>
        </w:rPr>
        <w:t>审</w:t>
      </w:r>
      <w:r>
        <w:rPr>
          <w:b/>
        </w:rPr>
        <w:t>方法</w:t>
      </w:r>
      <w:r>
        <w:rPr>
          <w:rFonts w:asciiTheme="minorEastAsia" w:hAnsiTheme="minorEastAsia" w:eastAsiaTheme="minorEastAsia"/>
          <w:b/>
        </w:rPr>
        <w:t>：</w:t>
      </w:r>
    </w:p>
    <w:p>
      <w:pPr>
        <w:spacing w:line="360" w:lineRule="auto"/>
        <w:ind w:firstLine="420" w:firstLineChars="200"/>
      </w:pPr>
      <w:r>
        <w:rPr>
          <w:rFonts w:hint="eastAsia"/>
        </w:rPr>
        <w:t>1、</w:t>
      </w:r>
      <w:r>
        <w:t>本项目</w:t>
      </w:r>
      <w:r>
        <w:rPr>
          <w:rFonts w:hint="eastAsia"/>
        </w:rPr>
        <w:t>评审</w:t>
      </w:r>
      <w:r>
        <w:t>采用“综合评估法”。评分按百分制计分，并遵循以下计分规则：</w:t>
      </w:r>
    </w:p>
    <w:p>
      <w:pPr>
        <w:spacing w:line="360" w:lineRule="auto"/>
        <w:ind w:firstLine="420" w:firstLineChars="200"/>
      </w:pPr>
      <w:r>
        <w:t>1） 评分计算保留2位小数（百分比亦取2位小数），第三位小数四舍五入；</w:t>
      </w:r>
    </w:p>
    <w:p>
      <w:pPr>
        <w:spacing w:line="360" w:lineRule="auto"/>
        <w:ind w:firstLine="420" w:firstLineChars="200"/>
      </w:pPr>
      <w:r>
        <w:t>2） 评分高出规定最高分或低于规定最低分的，单项评分为无效分；</w:t>
      </w:r>
    </w:p>
    <w:p>
      <w:pPr>
        <w:spacing w:line="360" w:lineRule="auto"/>
        <w:ind w:firstLine="420" w:firstLineChars="200"/>
      </w:pPr>
      <w:r>
        <w:t>3） 一个计分内容有2个或2个以上计分的，单项评分为无效分。</w:t>
      </w:r>
    </w:p>
    <w:p>
      <w:pPr>
        <w:spacing w:line="360" w:lineRule="auto"/>
        <w:ind w:firstLine="420" w:firstLineChars="200"/>
      </w:pPr>
      <w:r>
        <w:rPr>
          <w:rFonts w:hint="eastAsia"/>
        </w:rPr>
        <w:t>2、</w:t>
      </w:r>
      <w:r>
        <w:t xml:space="preserve"> 在评</w:t>
      </w:r>
      <w:r>
        <w:rPr>
          <w:rFonts w:hint="eastAsia"/>
        </w:rPr>
        <w:t>审</w:t>
      </w:r>
      <w:r>
        <w:t>过程中，如有</w:t>
      </w:r>
      <w:r>
        <w:rPr>
          <w:rFonts w:hint="eastAsia"/>
        </w:rPr>
        <w:t>供应商</w:t>
      </w:r>
      <w:r>
        <w:t>以其他人的名义</w:t>
      </w:r>
      <w:r>
        <w:rPr>
          <w:rFonts w:hint="eastAsia"/>
        </w:rPr>
        <w:t>参加</w:t>
      </w:r>
      <w:r>
        <w:t>、串通</w:t>
      </w:r>
      <w:r>
        <w:rPr>
          <w:rFonts w:hint="eastAsia"/>
        </w:rPr>
        <w:t>参加</w:t>
      </w:r>
      <w:r>
        <w:t>、以行贿手段谋取</w:t>
      </w:r>
      <w:r>
        <w:rPr>
          <w:rFonts w:hint="eastAsia"/>
        </w:rPr>
        <w:t>中选</w:t>
      </w:r>
      <w:r>
        <w:t>或者以其他弄虚作假方式</w:t>
      </w:r>
      <w:r>
        <w:rPr>
          <w:rFonts w:hint="eastAsia"/>
        </w:rPr>
        <w:t>参与</w:t>
      </w:r>
      <w:r>
        <w:t>的，一旦被评</w:t>
      </w:r>
      <w:r>
        <w:rPr>
          <w:rFonts w:hint="eastAsia"/>
        </w:rPr>
        <w:t>审</w:t>
      </w:r>
      <w:r>
        <w:t>委员会认定，该</w:t>
      </w:r>
      <w:r>
        <w:rPr>
          <w:rFonts w:hint="eastAsia"/>
        </w:rPr>
        <w:t>供应商</w:t>
      </w:r>
      <w:r>
        <w:t>的</w:t>
      </w:r>
      <w:r>
        <w:rPr>
          <w:rFonts w:hint="eastAsia"/>
        </w:rPr>
        <w:t>响应</w:t>
      </w:r>
      <w:r>
        <w:t>将被否决。</w:t>
      </w:r>
    </w:p>
    <w:p>
      <w:pPr>
        <w:spacing w:line="360" w:lineRule="auto"/>
        <w:ind w:firstLine="420" w:firstLineChars="200"/>
      </w:pPr>
      <w:r>
        <w:rPr>
          <w:rFonts w:hint="eastAsia"/>
        </w:rPr>
        <w:t>3、</w:t>
      </w:r>
      <w:r>
        <w:t>在评</w:t>
      </w:r>
      <w:r>
        <w:rPr>
          <w:rFonts w:hint="eastAsia"/>
        </w:rPr>
        <w:t>审</w:t>
      </w:r>
      <w:r>
        <w:t>过程中，评</w:t>
      </w:r>
      <w:r>
        <w:rPr>
          <w:rFonts w:hint="eastAsia"/>
        </w:rPr>
        <w:t>审</w:t>
      </w:r>
      <w:r>
        <w:t>委员会发现</w:t>
      </w:r>
      <w:r>
        <w:rPr>
          <w:rFonts w:hint="eastAsia"/>
        </w:rPr>
        <w:t>供应商</w:t>
      </w:r>
      <w:r>
        <w:t>的报价明显低于其他</w:t>
      </w:r>
      <w:r>
        <w:rPr>
          <w:rFonts w:hint="eastAsia"/>
        </w:rPr>
        <w:t>供应商</w:t>
      </w:r>
      <w:r>
        <w:t>报价，使得其报价可能低于其个别成本价的，应当要求该</w:t>
      </w:r>
      <w:r>
        <w:rPr>
          <w:rFonts w:hint="eastAsia"/>
        </w:rPr>
        <w:t>供应商</w:t>
      </w:r>
      <w:r>
        <w:t>作出书面说明并提供相关证明材料。</w:t>
      </w:r>
      <w:r>
        <w:rPr>
          <w:rFonts w:hint="eastAsia"/>
        </w:rPr>
        <w:t>供应商</w:t>
      </w:r>
      <w:r>
        <w:t>在评</w:t>
      </w:r>
      <w:r>
        <w:rPr>
          <w:rFonts w:hint="eastAsia"/>
        </w:rPr>
        <w:t>审</w:t>
      </w:r>
      <w:r>
        <w:t>委员会规定时间内不能合理说明或者不能提供相关证明材料的，由评</w:t>
      </w:r>
      <w:r>
        <w:rPr>
          <w:rFonts w:hint="eastAsia"/>
        </w:rPr>
        <w:t>审</w:t>
      </w:r>
      <w:r>
        <w:t>委员会认定该</w:t>
      </w:r>
      <w:r>
        <w:rPr>
          <w:rFonts w:hint="eastAsia"/>
        </w:rPr>
        <w:t>供应商</w:t>
      </w:r>
      <w:r>
        <w:t>低于成本报价，其</w:t>
      </w:r>
      <w:r>
        <w:rPr>
          <w:rFonts w:hint="eastAsia"/>
        </w:rPr>
        <w:t>响应</w:t>
      </w:r>
      <w:r>
        <w:t>将被否决。</w:t>
      </w:r>
    </w:p>
    <w:p>
      <w:pPr>
        <w:spacing w:line="360" w:lineRule="auto"/>
        <w:ind w:firstLine="420" w:firstLineChars="200"/>
      </w:pPr>
      <w:r>
        <w:rPr>
          <w:rFonts w:hint="eastAsia"/>
        </w:rPr>
        <w:t>4、中选供应商</w:t>
      </w:r>
      <w:r>
        <w:t>必须是</w:t>
      </w:r>
      <w:r>
        <w:rPr>
          <w:rFonts w:hint="eastAsia"/>
        </w:rPr>
        <w:t>初步评审</w:t>
      </w:r>
      <w:r>
        <w:t>合格，投标文件能最大限度满足</w:t>
      </w:r>
      <w:r>
        <w:rPr>
          <w:rFonts w:hint="eastAsia"/>
        </w:rPr>
        <w:t>采购</w:t>
      </w:r>
      <w:r>
        <w:t>文件规定的各项评价标准，经确认有能力全面履行合同且综合评分最高的</w:t>
      </w:r>
      <w:r>
        <w:rPr>
          <w:rFonts w:hint="eastAsia"/>
        </w:rPr>
        <w:t>供应商</w:t>
      </w:r>
      <w:r>
        <w:t>。</w:t>
      </w:r>
    </w:p>
    <w:p>
      <w:pPr>
        <w:spacing w:line="360" w:lineRule="auto"/>
        <w:ind w:firstLine="422" w:firstLineChars="200"/>
        <w:rPr>
          <w:b/>
          <w:szCs w:val="22"/>
        </w:rPr>
      </w:pPr>
      <w:r>
        <w:rPr>
          <w:rFonts w:hint="eastAsia"/>
          <w:b/>
          <w:szCs w:val="22"/>
        </w:rPr>
        <w:t>二、评审程序</w:t>
      </w:r>
    </w:p>
    <w:p>
      <w:pPr>
        <w:spacing w:line="360" w:lineRule="auto"/>
        <w:ind w:firstLine="420" w:firstLineChars="200"/>
      </w:pPr>
      <w:r>
        <w:t>评</w:t>
      </w:r>
      <w:r>
        <w:rPr>
          <w:rFonts w:hint="eastAsia"/>
        </w:rPr>
        <w:t>审</w:t>
      </w:r>
      <w:r>
        <w:t>委员会首先对</w:t>
      </w:r>
      <w:r>
        <w:rPr>
          <w:rFonts w:hint="eastAsia"/>
        </w:rPr>
        <w:t>响应</w:t>
      </w:r>
      <w:r>
        <w:t>文件进行初步评审，通过初步评审的</w:t>
      </w:r>
      <w:r>
        <w:rPr>
          <w:rFonts w:hint="eastAsia"/>
        </w:rPr>
        <w:t>供应商</w:t>
      </w:r>
      <w:r>
        <w:t>方可进入</w:t>
      </w:r>
      <w:r>
        <w:rPr>
          <w:rFonts w:hint="eastAsia"/>
        </w:rPr>
        <w:t>综合</w:t>
      </w:r>
      <w:r>
        <w:t>评审。</w:t>
      </w:r>
    </w:p>
    <w:p>
      <w:pPr>
        <w:spacing w:line="360" w:lineRule="auto"/>
        <w:ind w:firstLine="420" w:firstLineChars="200"/>
        <w:rPr>
          <w:rFonts w:asciiTheme="minorEastAsia" w:hAnsiTheme="minorEastAsia" w:eastAsiaTheme="minorEastAsia"/>
        </w:rPr>
      </w:pPr>
      <w:r>
        <w:rPr>
          <w:rFonts w:hint="eastAsia"/>
        </w:rPr>
        <w:t>1、初步评审：</w:t>
      </w:r>
      <w:r>
        <w:t>评</w:t>
      </w:r>
      <w:r>
        <w:rPr>
          <w:rFonts w:hint="eastAsia"/>
        </w:rPr>
        <w:t>审</w:t>
      </w:r>
      <w:r>
        <w:t>委员会将审查</w:t>
      </w:r>
      <w:r>
        <w:rPr>
          <w:rFonts w:hint="eastAsia"/>
        </w:rPr>
        <w:t>响应</w:t>
      </w:r>
      <w:r>
        <w:t>文件是否完整、资格文件是否齐全</w:t>
      </w:r>
      <w:r>
        <w:rPr>
          <w:rFonts w:hint="eastAsia"/>
        </w:rPr>
        <w:t>、</w:t>
      </w:r>
      <w:r>
        <w:t>有无计算上的错误</w:t>
      </w:r>
      <w:r>
        <w:rPr>
          <w:rFonts w:hint="eastAsia"/>
        </w:rPr>
        <w:t>、</w:t>
      </w:r>
      <w:r>
        <w:rPr>
          <w:rFonts w:hint="eastAsia" w:asciiTheme="minorEastAsia" w:hAnsiTheme="minorEastAsia" w:eastAsiaTheme="minorEastAsia"/>
        </w:rPr>
        <w:t>“</w:t>
      </w:r>
      <w:r>
        <w:rPr>
          <w:rFonts w:hint="eastAsia" w:asciiTheme="minorEastAsia" w:hAnsiTheme="minorEastAsia" w:eastAsiaTheme="minorEastAsia"/>
          <w:bCs/>
          <w:szCs w:val="22"/>
          <w:lang w:val="en-US" w:eastAsia="zh-CN"/>
        </w:rPr>
        <w:t>*</w:t>
      </w:r>
      <w:r>
        <w:rPr>
          <w:rFonts w:hint="eastAsia" w:asciiTheme="minorEastAsia" w:hAnsiTheme="minorEastAsia" w:eastAsiaTheme="minorEastAsia"/>
        </w:rPr>
        <w:t>”条款是否全部响应</w:t>
      </w:r>
      <w:r>
        <w:t>等</w:t>
      </w:r>
      <w:r>
        <w:rPr>
          <w:rFonts w:hint="eastAsia"/>
        </w:rPr>
        <w:t>，</w:t>
      </w:r>
      <w:r>
        <w:rPr>
          <w:rFonts w:hint="eastAsia" w:asciiTheme="minorEastAsia" w:hAnsiTheme="minorEastAsia" w:eastAsiaTheme="minorEastAsia"/>
        </w:rPr>
        <w:t>未满足视为无效响应本次采购。</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1.1项目只要存在符合采购文件要求的供应商，应继续评审并选出中选供应商。</w:t>
      </w:r>
    </w:p>
    <w:p>
      <w:pPr>
        <w:spacing w:line="360" w:lineRule="auto"/>
        <w:ind w:firstLine="420" w:firstLineChars="200"/>
        <w:rPr>
          <w:rFonts w:asciiTheme="minorEastAsia" w:hAnsiTheme="minorEastAsia" w:eastAsiaTheme="minorEastAsia"/>
        </w:rPr>
      </w:pPr>
      <w:r>
        <w:rPr>
          <w:rFonts w:hint="eastAsia"/>
        </w:rPr>
        <w:t>2、综合评审：</w:t>
      </w:r>
      <w:r>
        <w:t>评</w:t>
      </w:r>
      <w:r>
        <w:rPr>
          <w:rFonts w:hint="eastAsia"/>
        </w:rPr>
        <w:t>审</w:t>
      </w:r>
      <w:r>
        <w:t>委员会将按照本</w:t>
      </w:r>
      <w:r>
        <w:rPr>
          <w:rFonts w:hint="eastAsia"/>
        </w:rPr>
        <w:t>评审</w:t>
      </w:r>
      <w:r>
        <w:t>办法，只对确定</w:t>
      </w:r>
      <w:r>
        <w:rPr>
          <w:rFonts w:hint="eastAsia"/>
        </w:rPr>
        <w:t>通过初步评审的响应文件</w:t>
      </w:r>
      <w:r>
        <w:t>进行</w:t>
      </w:r>
      <w:r>
        <w:rPr>
          <w:rFonts w:hint="eastAsia"/>
        </w:rPr>
        <w:t>综合</w:t>
      </w:r>
      <w:r>
        <w:t>评审，并对参加</w:t>
      </w:r>
      <w:r>
        <w:rPr>
          <w:rFonts w:hint="eastAsia"/>
        </w:rPr>
        <w:t>综合</w:t>
      </w:r>
      <w:r>
        <w:t>评审的各</w:t>
      </w:r>
      <w:r>
        <w:rPr>
          <w:rFonts w:hint="eastAsia"/>
        </w:rPr>
        <w:t>供应商</w:t>
      </w:r>
      <w:r>
        <w:t>综合得分进行计算和汇总。</w:t>
      </w:r>
    </w:p>
    <w:p>
      <w:pPr>
        <w:spacing w:line="360" w:lineRule="auto"/>
        <w:ind w:firstLine="420" w:firstLineChars="200"/>
        <w:rPr>
          <w:rFonts w:asciiTheme="minorEastAsia" w:hAnsiTheme="minorEastAsia" w:eastAsiaTheme="minorEastAsia"/>
        </w:rPr>
      </w:pPr>
      <w:r>
        <w:rPr>
          <w:rFonts w:hint="eastAsia"/>
        </w:rPr>
        <w:t>2.1综合</w:t>
      </w:r>
      <w:r>
        <w:t>评审即以</w:t>
      </w:r>
      <w:r>
        <w:rPr>
          <w:rFonts w:hint="eastAsia"/>
        </w:rPr>
        <w:t>采购</w:t>
      </w:r>
      <w:r>
        <w:t>文件为依据，对所</w:t>
      </w:r>
      <w:r>
        <w:rPr>
          <w:rFonts w:hint="eastAsia"/>
        </w:rPr>
        <w:t>有供应商的文件</w:t>
      </w:r>
      <w:r>
        <w:t>分别从“</w:t>
      </w:r>
      <w:r>
        <w:rPr>
          <w:rFonts w:hint="eastAsia"/>
        </w:rPr>
        <w:t>综合</w:t>
      </w:r>
      <w:r>
        <w:t>”和“价格”</w:t>
      </w:r>
      <w:r>
        <w:rPr>
          <w:rFonts w:hint="eastAsia"/>
        </w:rPr>
        <w:t>两</w:t>
      </w:r>
      <w:r>
        <w:t>个方面进行评审并按照百分制进行综合评分（详见计分值及评分内容）。</w:t>
      </w:r>
    </w:p>
    <w:p>
      <w:pPr>
        <w:spacing w:line="360" w:lineRule="auto"/>
        <w:ind w:firstLine="420" w:firstLineChars="200"/>
        <w:rPr>
          <w:rFonts w:asciiTheme="minorEastAsia" w:hAnsiTheme="minorEastAsia" w:eastAsiaTheme="minorEastAsia"/>
        </w:rPr>
      </w:pPr>
      <w:r>
        <w:rPr>
          <w:rFonts w:hint="eastAsia"/>
        </w:rPr>
        <w:t>2.2</w:t>
      </w:r>
      <w:r>
        <w:t>评</w:t>
      </w:r>
      <w:r>
        <w:rPr>
          <w:rFonts w:hint="eastAsia"/>
        </w:rPr>
        <w:t>审</w:t>
      </w:r>
      <w:r>
        <w:t>委员会按照</w:t>
      </w:r>
      <w:r>
        <w:rPr>
          <w:rFonts w:hint="eastAsia"/>
        </w:rPr>
        <w:t>采购</w:t>
      </w:r>
      <w:r>
        <w:t>文件中对各项评分因素的要求，对每个进入</w:t>
      </w:r>
      <w:r>
        <w:rPr>
          <w:rFonts w:hint="eastAsia"/>
        </w:rPr>
        <w:t>综合</w:t>
      </w:r>
      <w:r>
        <w:t>评审的</w:t>
      </w:r>
      <w:r>
        <w:rPr>
          <w:rFonts w:hint="eastAsia"/>
        </w:rPr>
        <w:t>供应商</w:t>
      </w:r>
      <w:r>
        <w:t>的</w:t>
      </w:r>
      <w:r>
        <w:rPr>
          <w:rFonts w:hint="eastAsia"/>
        </w:rPr>
        <w:t>响应</w:t>
      </w:r>
      <w:r>
        <w:t>文件进行评价（其中的技术能力部分由评委独立评价并计分，取所有评委评审得分的算术平均值）；然后汇总每个</w:t>
      </w:r>
      <w:r>
        <w:rPr>
          <w:rFonts w:hint="eastAsia"/>
        </w:rPr>
        <w:t>供应商</w:t>
      </w:r>
      <w:r>
        <w:t>每项评分因素的得分。最终评审得分= A1+ A2+……+ An。其中：A1、A2……An分别为各项评分因素的汇总得分。</w:t>
      </w:r>
    </w:p>
    <w:p>
      <w:pPr>
        <w:rPr>
          <w:b/>
        </w:rPr>
      </w:pPr>
      <w:r>
        <w:rPr>
          <w:rFonts w:hint="eastAsia"/>
          <w:b/>
        </w:rPr>
        <w:br w:type="page"/>
      </w:r>
    </w:p>
    <w:p>
      <w:pPr>
        <w:spacing w:line="360" w:lineRule="auto"/>
        <w:ind w:firstLine="422" w:firstLineChars="200"/>
        <w:rPr>
          <w:b/>
        </w:rPr>
      </w:pPr>
      <w:r>
        <w:rPr>
          <w:rFonts w:hint="eastAsia"/>
          <w:b/>
        </w:rPr>
        <w:t>三、分值</w:t>
      </w:r>
      <w:r>
        <w:rPr>
          <w:b/>
        </w:rPr>
        <w:t>及评分内容：</w:t>
      </w:r>
    </w:p>
    <w:p>
      <w:pPr>
        <w:spacing w:line="440" w:lineRule="exact"/>
        <w:ind w:firstLine="422" w:firstLineChars="200"/>
        <w:rPr>
          <w:b/>
        </w:rPr>
      </w:pPr>
      <w:r>
        <w:rPr>
          <w:b/>
        </w:rPr>
        <w:t>3.1</w:t>
      </w:r>
      <w:r>
        <w:rPr>
          <w:rFonts w:hint="eastAsia"/>
          <w:b/>
        </w:rPr>
        <w:t>分</w:t>
      </w:r>
      <w:r>
        <w:rPr>
          <w:b/>
        </w:rPr>
        <w:t>值</w:t>
      </w:r>
    </w:p>
    <w:p>
      <w:pPr>
        <w:spacing w:line="200" w:lineRule="exact"/>
      </w:pP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43" w:type="dxa"/>
            <w:tcBorders>
              <w:top w:val="single" w:color="auto" w:sz="12" w:space="0"/>
              <w:left w:val="single" w:color="auto" w:sz="12" w:space="0"/>
            </w:tcBorders>
            <w:noWrap/>
            <w:vAlign w:val="center"/>
          </w:tcPr>
          <w:p>
            <w:pPr>
              <w:jc w:val="center"/>
            </w:pPr>
            <w:r>
              <w:t>具体项目</w:t>
            </w:r>
          </w:p>
        </w:tc>
        <w:tc>
          <w:tcPr>
            <w:tcW w:w="4643" w:type="dxa"/>
            <w:tcBorders>
              <w:top w:val="single" w:color="auto" w:sz="12" w:space="0"/>
              <w:right w:val="single" w:color="auto" w:sz="12" w:space="0"/>
            </w:tcBorders>
            <w:noWrap/>
            <w:vAlign w:val="center"/>
          </w:tcPr>
          <w:p>
            <w:pPr>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43" w:type="dxa"/>
            <w:tcBorders>
              <w:left w:val="single" w:color="auto" w:sz="12" w:space="0"/>
            </w:tcBorders>
            <w:noWrap/>
            <w:vAlign w:val="center"/>
          </w:tcPr>
          <w:p>
            <w:pPr>
              <w:jc w:val="center"/>
            </w:pPr>
            <w:r>
              <w:rPr>
                <w:rFonts w:hint="eastAsia"/>
              </w:rPr>
              <w:t>综合</w:t>
            </w:r>
            <w:r>
              <w:t>部分（A1）</w:t>
            </w:r>
          </w:p>
        </w:tc>
        <w:tc>
          <w:tcPr>
            <w:tcW w:w="4643" w:type="dxa"/>
            <w:tcBorders>
              <w:right w:val="single" w:color="auto" w:sz="12" w:space="0"/>
            </w:tcBorders>
            <w:noWrap/>
            <w:vAlign w:val="center"/>
          </w:tcPr>
          <w:p>
            <w:pPr>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43" w:type="dxa"/>
            <w:tcBorders>
              <w:left w:val="single" w:color="auto" w:sz="12" w:space="0"/>
              <w:bottom w:val="single" w:color="auto" w:sz="12" w:space="0"/>
            </w:tcBorders>
            <w:noWrap/>
            <w:vAlign w:val="center"/>
          </w:tcPr>
          <w:p>
            <w:pPr>
              <w:jc w:val="center"/>
            </w:pPr>
            <w:r>
              <w:rPr>
                <w:rFonts w:hint="eastAsia"/>
              </w:rPr>
              <w:t>价格部分</w:t>
            </w:r>
            <w:r>
              <w:t>（A</w:t>
            </w:r>
            <w:r>
              <w:rPr>
                <w:rFonts w:hint="eastAsia"/>
              </w:rPr>
              <w:t>2</w:t>
            </w:r>
            <w:r>
              <w:t>）</w:t>
            </w:r>
          </w:p>
        </w:tc>
        <w:tc>
          <w:tcPr>
            <w:tcW w:w="4643" w:type="dxa"/>
            <w:tcBorders>
              <w:bottom w:val="single" w:color="auto" w:sz="12" w:space="0"/>
              <w:right w:val="single" w:color="auto" w:sz="12" w:space="0"/>
            </w:tcBorders>
            <w:noWrap/>
            <w:vAlign w:val="center"/>
          </w:tcPr>
          <w:p>
            <w:pPr>
              <w:jc w:val="center"/>
            </w:pPr>
            <w:r>
              <w:rPr>
                <w:rFonts w:hint="eastAsia"/>
              </w:rPr>
              <w:t>30</w:t>
            </w:r>
          </w:p>
        </w:tc>
      </w:tr>
    </w:tbl>
    <w:p>
      <w:pPr>
        <w:spacing w:line="440" w:lineRule="exact"/>
        <w:ind w:firstLine="422" w:firstLineChars="200"/>
        <w:rPr>
          <w:b/>
        </w:rPr>
      </w:pPr>
    </w:p>
    <w:p>
      <w:pPr>
        <w:spacing w:line="440" w:lineRule="exact"/>
        <w:ind w:firstLine="422" w:firstLineChars="200"/>
        <w:rPr>
          <w:b/>
        </w:rPr>
      </w:pPr>
      <w:r>
        <w:rPr>
          <w:b/>
        </w:rPr>
        <w:t>3.2综合</w:t>
      </w:r>
      <w:r>
        <w:rPr>
          <w:rFonts w:hint="eastAsia"/>
          <w:b/>
        </w:rPr>
        <w:t>部分（70分）</w:t>
      </w:r>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15"/>
        <w:gridCol w:w="720"/>
        <w:gridCol w:w="6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3" w:type="dxa"/>
            <w:tcBorders>
              <w:tl2br w:val="nil"/>
              <w:tr2bl w:val="nil"/>
            </w:tcBorders>
            <w:noWrap/>
            <w:vAlign w:val="center"/>
          </w:tcPr>
          <w:p>
            <w:pPr>
              <w:spacing w:line="440" w:lineRule="exact"/>
              <w:jc w:val="center"/>
              <w:rPr>
                <w:b/>
                <w:szCs w:val="21"/>
              </w:rPr>
            </w:pPr>
            <w:r>
              <w:rPr>
                <w:rFonts w:hint="eastAsia"/>
                <w:b/>
                <w:szCs w:val="21"/>
              </w:rPr>
              <w:t>序号</w:t>
            </w:r>
          </w:p>
        </w:tc>
        <w:tc>
          <w:tcPr>
            <w:tcW w:w="1215" w:type="dxa"/>
            <w:tcBorders>
              <w:tl2br w:val="nil"/>
              <w:tr2bl w:val="nil"/>
            </w:tcBorders>
            <w:noWrap/>
            <w:vAlign w:val="center"/>
          </w:tcPr>
          <w:p>
            <w:pPr>
              <w:spacing w:line="440" w:lineRule="exact"/>
              <w:jc w:val="center"/>
              <w:rPr>
                <w:b/>
                <w:szCs w:val="21"/>
              </w:rPr>
            </w:pPr>
            <w:r>
              <w:rPr>
                <w:b/>
                <w:szCs w:val="21"/>
              </w:rPr>
              <w:t>计分因素</w:t>
            </w:r>
          </w:p>
        </w:tc>
        <w:tc>
          <w:tcPr>
            <w:tcW w:w="720" w:type="dxa"/>
            <w:tcBorders>
              <w:tl2br w:val="nil"/>
              <w:tr2bl w:val="nil"/>
            </w:tcBorders>
            <w:noWrap/>
            <w:vAlign w:val="center"/>
          </w:tcPr>
          <w:p>
            <w:pPr>
              <w:spacing w:line="440" w:lineRule="exact"/>
              <w:jc w:val="center"/>
              <w:rPr>
                <w:b/>
                <w:szCs w:val="21"/>
              </w:rPr>
            </w:pPr>
            <w:r>
              <w:rPr>
                <w:b/>
                <w:szCs w:val="21"/>
              </w:rPr>
              <w:t>分值</w:t>
            </w:r>
          </w:p>
        </w:tc>
        <w:tc>
          <w:tcPr>
            <w:tcW w:w="6698" w:type="dxa"/>
            <w:tcBorders>
              <w:tl2br w:val="nil"/>
              <w:tr2bl w:val="nil"/>
            </w:tcBorders>
            <w:noWrap/>
            <w:vAlign w:val="center"/>
          </w:tcPr>
          <w:p>
            <w:pPr>
              <w:spacing w:line="440" w:lineRule="exact"/>
              <w:jc w:val="center"/>
              <w:rPr>
                <w:b/>
                <w:szCs w:val="21"/>
              </w:rP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szCs w:val="21"/>
              </w:rPr>
            </w:pPr>
            <w:r>
              <w:rPr>
                <w:rFonts w:hint="eastAsia"/>
                <w:szCs w:val="21"/>
              </w:rPr>
              <w:t>1</w:t>
            </w:r>
          </w:p>
        </w:tc>
        <w:tc>
          <w:tcPr>
            <w:tcW w:w="1215" w:type="dxa"/>
            <w:tcBorders>
              <w:tl2br w:val="nil"/>
              <w:tr2bl w:val="nil"/>
            </w:tcBorders>
            <w:noWrap/>
            <w:vAlign w:val="center"/>
          </w:tcPr>
          <w:p>
            <w:pPr>
              <w:jc w:val="center"/>
              <w:rPr>
                <w:szCs w:val="21"/>
              </w:rPr>
            </w:pPr>
            <w:r>
              <w:rPr>
                <w:szCs w:val="21"/>
              </w:rPr>
              <w:t>财务状况</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szCs w:val="21"/>
              </w:rPr>
              <w:t>提供完整的201</w:t>
            </w:r>
            <w:r>
              <w:rPr>
                <w:rFonts w:hint="eastAsia"/>
                <w:szCs w:val="21"/>
              </w:rPr>
              <w:t>8</w:t>
            </w:r>
            <w:r>
              <w:rPr>
                <w:szCs w:val="21"/>
              </w:rPr>
              <w:t>年度财务报告，包括三张主表（资产负债表、现金流量表、利润表）的计</w:t>
            </w:r>
            <w:r>
              <w:rPr>
                <w:rFonts w:hint="eastAsia"/>
                <w:szCs w:val="21"/>
                <w:lang w:val="en-US" w:eastAsia="zh-CN"/>
              </w:rPr>
              <w:t>5</w:t>
            </w:r>
            <w:r>
              <w:rPr>
                <w:szCs w:val="21"/>
              </w:rPr>
              <w:t>分，每缺少一张主表扣</w:t>
            </w:r>
            <w:r>
              <w:rPr>
                <w:rFonts w:hint="eastAsia"/>
                <w:szCs w:val="21"/>
              </w:rPr>
              <w:t>2</w:t>
            </w:r>
            <w:r>
              <w:rPr>
                <w:szCs w:val="21"/>
              </w:rPr>
              <w:t>分；审计报告未加盖会计师事务所公章，财务状况记0分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2</w:t>
            </w:r>
          </w:p>
        </w:tc>
        <w:tc>
          <w:tcPr>
            <w:tcW w:w="1215" w:type="dxa"/>
            <w:tcBorders>
              <w:tl2br w:val="nil"/>
              <w:tr2bl w:val="nil"/>
            </w:tcBorders>
            <w:noWrap/>
            <w:vAlign w:val="center"/>
          </w:tcPr>
          <w:p>
            <w:pPr>
              <w:jc w:val="center"/>
              <w:rPr>
                <w:szCs w:val="21"/>
              </w:rPr>
            </w:pPr>
            <w:r>
              <w:rPr>
                <w:rFonts w:hint="eastAsia"/>
                <w:szCs w:val="21"/>
              </w:rPr>
              <w:t>售后能力</w:t>
            </w:r>
          </w:p>
        </w:tc>
        <w:tc>
          <w:tcPr>
            <w:tcW w:w="720" w:type="dxa"/>
            <w:tcBorders>
              <w:tl2br w:val="nil"/>
              <w:tr2bl w:val="nil"/>
            </w:tcBorders>
            <w:noWrap/>
            <w:vAlign w:val="center"/>
          </w:tcPr>
          <w:p>
            <w:pPr>
              <w:jc w:val="center"/>
              <w:rPr>
                <w:szCs w:val="21"/>
              </w:rPr>
            </w:pPr>
            <w:r>
              <w:rPr>
                <w:rFonts w:hint="eastAsia"/>
                <w:szCs w:val="21"/>
              </w:rPr>
              <w:t>5</w:t>
            </w:r>
          </w:p>
        </w:tc>
        <w:tc>
          <w:tcPr>
            <w:tcW w:w="6698" w:type="dxa"/>
            <w:tcBorders>
              <w:tl2br w:val="nil"/>
              <w:tr2bl w:val="nil"/>
            </w:tcBorders>
            <w:noWrap/>
            <w:vAlign w:val="center"/>
          </w:tcPr>
          <w:p>
            <w:pPr>
              <w:rPr>
                <w:szCs w:val="21"/>
              </w:rPr>
            </w:pPr>
            <w:r>
              <w:rPr>
                <w:rFonts w:hint="eastAsia"/>
                <w:szCs w:val="21"/>
              </w:rPr>
              <w:t>售后服务：售后服务能力满足完全医院需求的，计5分；</w:t>
            </w:r>
          </w:p>
          <w:p>
            <w:pPr>
              <w:rPr>
                <w:szCs w:val="21"/>
              </w:rPr>
            </w:pPr>
            <w:r>
              <w:rPr>
                <w:rFonts w:hint="eastAsia"/>
                <w:szCs w:val="21"/>
              </w:rPr>
              <w:t>售后服务能力部分满足医院需求的，计2分；</w:t>
            </w:r>
          </w:p>
          <w:p>
            <w:pPr>
              <w:rPr>
                <w:szCs w:val="21"/>
              </w:rPr>
            </w:pPr>
            <w:r>
              <w:rPr>
                <w:rFonts w:hint="eastAsia"/>
                <w:szCs w:val="21"/>
              </w:rPr>
              <w:t>无法满足医院需求或未提供的，计0分。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3</w:t>
            </w:r>
          </w:p>
        </w:tc>
        <w:tc>
          <w:tcPr>
            <w:tcW w:w="1215" w:type="dxa"/>
            <w:tcBorders>
              <w:tl2br w:val="nil"/>
              <w:tr2bl w:val="nil"/>
            </w:tcBorders>
            <w:noWrap/>
            <w:vAlign w:val="center"/>
          </w:tcPr>
          <w:p>
            <w:pPr>
              <w:jc w:val="center"/>
              <w:rPr>
                <w:szCs w:val="21"/>
              </w:rPr>
            </w:pPr>
            <w:r>
              <w:rPr>
                <w:rFonts w:hint="eastAsia"/>
                <w:szCs w:val="21"/>
              </w:rPr>
              <w:t>培训计划</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rFonts w:hint="eastAsia"/>
                <w:szCs w:val="21"/>
              </w:rPr>
              <w:t>培训计划：</w:t>
            </w:r>
          </w:p>
          <w:p>
            <w:pPr>
              <w:rPr>
                <w:szCs w:val="21"/>
              </w:rPr>
            </w:pPr>
            <w:r>
              <w:rPr>
                <w:rFonts w:hint="eastAsia"/>
                <w:szCs w:val="21"/>
              </w:rPr>
              <w:t>计划完善、详细合理，计</w:t>
            </w:r>
            <w:r>
              <w:rPr>
                <w:rFonts w:hint="eastAsia"/>
                <w:szCs w:val="21"/>
                <w:lang w:val="en-US" w:eastAsia="zh-CN"/>
              </w:rPr>
              <w:t>5</w:t>
            </w:r>
            <w:r>
              <w:rPr>
                <w:rFonts w:hint="eastAsia"/>
                <w:szCs w:val="21"/>
              </w:rPr>
              <w:t>分；</w:t>
            </w:r>
          </w:p>
          <w:p>
            <w:pPr>
              <w:rPr>
                <w:szCs w:val="21"/>
              </w:rPr>
            </w:pPr>
            <w:r>
              <w:rPr>
                <w:rFonts w:hint="eastAsia"/>
                <w:szCs w:val="21"/>
              </w:rPr>
              <w:t>计划较完善、较详细合理，计</w:t>
            </w:r>
            <w:r>
              <w:rPr>
                <w:rFonts w:hint="eastAsia"/>
                <w:szCs w:val="21"/>
                <w:lang w:val="en-US" w:eastAsia="zh-CN"/>
              </w:rPr>
              <w:t>3</w:t>
            </w:r>
            <w:r>
              <w:rPr>
                <w:rFonts w:hint="eastAsia"/>
                <w:szCs w:val="21"/>
              </w:rPr>
              <w:t>分；</w:t>
            </w:r>
          </w:p>
          <w:p>
            <w:pPr>
              <w:rPr>
                <w:szCs w:val="21"/>
              </w:rPr>
            </w:pPr>
            <w:r>
              <w:rPr>
                <w:rFonts w:hint="eastAsia"/>
                <w:szCs w:val="21"/>
              </w:rPr>
              <w:t>计划有缺漏、计划不合理，计1分；</w:t>
            </w:r>
          </w:p>
          <w:p>
            <w:pPr>
              <w:rPr>
                <w:szCs w:val="21"/>
              </w:rPr>
            </w:pPr>
            <w:r>
              <w:rPr>
                <w:rFonts w:hint="eastAsia"/>
                <w:szCs w:val="21"/>
              </w:rPr>
              <w:t>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default"/>
                <w:szCs w:val="21"/>
                <w:lang w:val="en-US" w:eastAsia="zh-CN"/>
              </w:rPr>
            </w:pPr>
            <w:r>
              <w:rPr>
                <w:rFonts w:hint="eastAsia"/>
                <w:szCs w:val="21"/>
                <w:lang w:val="en-US" w:eastAsia="zh-CN"/>
              </w:rPr>
              <w:t>4</w:t>
            </w:r>
          </w:p>
        </w:tc>
        <w:tc>
          <w:tcPr>
            <w:tcW w:w="1215"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业绩</w:t>
            </w:r>
          </w:p>
        </w:tc>
        <w:tc>
          <w:tcPr>
            <w:tcW w:w="720"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5</w:t>
            </w:r>
          </w:p>
        </w:tc>
        <w:tc>
          <w:tcPr>
            <w:tcW w:w="6698" w:type="dxa"/>
            <w:tcBorders>
              <w:tl2br w:val="nil"/>
              <w:tr2bl w:val="nil"/>
            </w:tcBorders>
            <w:noWrap/>
            <w:vAlign w:val="center"/>
          </w:tcPr>
          <w:p>
            <w:pPr>
              <w:rPr>
                <w:rFonts w:hint="default" w:eastAsia="宋体"/>
                <w:szCs w:val="21"/>
                <w:lang w:val="en-US" w:eastAsia="zh-CN"/>
              </w:rPr>
            </w:pPr>
            <w:r>
              <w:rPr>
                <w:rFonts w:hint="eastAsia"/>
                <w:szCs w:val="21"/>
                <w:lang w:val="en-US" w:eastAsia="zh-CN"/>
              </w:rPr>
              <w:t>供应商提供所投设备在国内医院最终使用用户，每提供1份合同或中标通知书的，计1分，满分5分。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1215" w:type="dxa"/>
            <w:tcBorders>
              <w:tl2br w:val="nil"/>
              <w:tr2bl w:val="nil"/>
            </w:tcBorders>
            <w:noWrap/>
            <w:vAlign w:val="center"/>
          </w:tcPr>
          <w:p>
            <w:pPr>
              <w:jc w:val="center"/>
              <w:rPr>
                <w:szCs w:val="21"/>
              </w:rPr>
            </w:pPr>
            <w:r>
              <w:rPr>
                <w:rFonts w:hint="eastAsia"/>
                <w:szCs w:val="21"/>
              </w:rPr>
              <w:t>技术</w:t>
            </w:r>
            <w:r>
              <w:rPr>
                <w:rFonts w:hint="eastAsia"/>
                <w:szCs w:val="21"/>
                <w:lang w:eastAsia="zh-CN"/>
              </w:rPr>
              <w:t>商务</w:t>
            </w:r>
            <w:r>
              <w:rPr>
                <w:rFonts w:hint="eastAsia"/>
                <w:szCs w:val="21"/>
              </w:rPr>
              <w:t>响应</w:t>
            </w:r>
          </w:p>
        </w:tc>
        <w:tc>
          <w:tcPr>
            <w:tcW w:w="720" w:type="dxa"/>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35</w:t>
            </w:r>
          </w:p>
        </w:tc>
        <w:tc>
          <w:tcPr>
            <w:tcW w:w="6698" w:type="dxa"/>
            <w:tcBorders>
              <w:tl2br w:val="nil"/>
              <w:tr2bl w:val="nil"/>
            </w:tcBorders>
            <w:noWrap/>
            <w:vAlign w:val="center"/>
          </w:tcPr>
          <w:p>
            <w:pPr>
              <w:jc w:val="left"/>
            </w:pPr>
            <w:r>
              <w:t>设备技术参数</w:t>
            </w:r>
            <w:r>
              <w:rPr>
                <w:rFonts w:hint="eastAsia"/>
              </w:rPr>
              <w:t>、规格</w:t>
            </w:r>
            <w:r>
              <w:t>完全满足</w:t>
            </w:r>
            <w:r>
              <w:rPr>
                <w:rFonts w:hint="eastAsia"/>
              </w:rPr>
              <w:t>采购</w:t>
            </w:r>
            <w:r>
              <w:t>文件技术要求的计</w:t>
            </w:r>
            <w:r>
              <w:rPr>
                <w:rFonts w:hint="eastAsia"/>
                <w:lang w:val="en-US" w:eastAsia="zh-CN"/>
              </w:rPr>
              <w:t>35</w:t>
            </w:r>
            <w:r>
              <w:t>分；</w:t>
            </w:r>
          </w:p>
          <w:p>
            <w:r>
              <w:t>一般参数每负偏离一项扣</w:t>
            </w:r>
            <w:r>
              <w:rPr>
                <w:rFonts w:hint="eastAsia"/>
                <w:lang w:val="en-US" w:eastAsia="zh-CN"/>
              </w:rPr>
              <w:t>5</w:t>
            </w:r>
            <w:r>
              <w:t>分，扣完为止，正偏离不加分</w:t>
            </w:r>
            <w:r>
              <w:rPr>
                <w:rFonts w:hint="eastAsia"/>
              </w:rPr>
              <w:t>，未提供技术参数的视同为负偏离。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6</w:t>
            </w:r>
          </w:p>
        </w:tc>
        <w:tc>
          <w:tcPr>
            <w:tcW w:w="1215" w:type="dxa"/>
            <w:tcBorders>
              <w:tl2br w:val="nil"/>
              <w:tr2bl w:val="nil"/>
            </w:tcBorders>
            <w:noWrap/>
            <w:vAlign w:val="center"/>
          </w:tcPr>
          <w:p>
            <w:pPr>
              <w:jc w:val="center"/>
              <w:rPr>
                <w:szCs w:val="21"/>
              </w:rPr>
            </w:pPr>
            <w:r>
              <w:rPr>
                <w:rFonts w:hint="eastAsia"/>
                <w:szCs w:val="21"/>
              </w:rPr>
              <w:t>设备性能及先进程度</w:t>
            </w:r>
          </w:p>
        </w:tc>
        <w:tc>
          <w:tcPr>
            <w:tcW w:w="720" w:type="dxa"/>
            <w:tcBorders>
              <w:tl2br w:val="nil"/>
              <w:tr2bl w:val="nil"/>
            </w:tcBorders>
            <w:noWrap/>
            <w:vAlign w:val="center"/>
          </w:tcPr>
          <w:p>
            <w:pPr>
              <w:jc w:val="center"/>
              <w:rPr>
                <w:szCs w:val="21"/>
              </w:rPr>
            </w:pPr>
            <w:r>
              <w:rPr>
                <w:rFonts w:hint="eastAsia"/>
                <w:szCs w:val="21"/>
              </w:rPr>
              <w:t>15</w:t>
            </w:r>
          </w:p>
        </w:tc>
        <w:tc>
          <w:tcPr>
            <w:tcW w:w="6698" w:type="dxa"/>
            <w:tcBorders>
              <w:tl2br w:val="nil"/>
              <w:tr2bl w:val="nil"/>
            </w:tcBorders>
            <w:noWrap/>
            <w:vAlign w:val="center"/>
          </w:tcPr>
          <w:p>
            <w:r>
              <w:rPr>
                <w:rFonts w:hint="eastAsia"/>
              </w:rPr>
              <w:t>对比各</w:t>
            </w:r>
            <w:r>
              <w:rPr>
                <w:rFonts w:hint="eastAsia"/>
                <w:lang w:val="en-US" w:eastAsia="zh-CN"/>
              </w:rPr>
              <w:t>供应商</w:t>
            </w:r>
            <w:r>
              <w:rPr>
                <w:rFonts w:hint="eastAsia"/>
              </w:rPr>
              <w:t>所投设备的性能：</w:t>
            </w:r>
          </w:p>
          <w:p>
            <w:r>
              <w:rPr>
                <w:rFonts w:hint="eastAsia"/>
              </w:rPr>
              <w:t>投标设备性能较好，采用了的较为先进的技术措施，得11-15分；</w:t>
            </w:r>
          </w:p>
          <w:p>
            <w:r>
              <w:rPr>
                <w:rFonts w:hint="eastAsia"/>
              </w:rPr>
              <w:t>投标设备性能及采用的技术措施先进性一般，得6-10分；</w:t>
            </w:r>
          </w:p>
          <w:p>
            <w:r>
              <w:rPr>
                <w:rFonts w:hint="eastAsia"/>
              </w:rPr>
              <w:t>投标设备性能较差，采用的技术措施已经落后，得0-5分。</w:t>
            </w:r>
          </w:p>
        </w:tc>
      </w:tr>
    </w:tbl>
    <w:p>
      <w:pPr>
        <w:spacing w:line="440" w:lineRule="exact"/>
        <w:ind w:firstLine="422" w:firstLineChars="200"/>
        <w:rPr>
          <w:b/>
        </w:rPr>
      </w:pPr>
    </w:p>
    <w:p>
      <w:pPr>
        <w:spacing w:line="360" w:lineRule="auto"/>
        <w:ind w:firstLine="422" w:firstLineChars="200"/>
        <w:rPr>
          <w:b/>
        </w:rPr>
      </w:pPr>
      <w:r>
        <w:rPr>
          <w:rFonts w:hint="eastAsia"/>
          <w:b/>
        </w:rPr>
        <w:t>3.3价格部分（30分）</w:t>
      </w:r>
    </w:p>
    <w:tbl>
      <w:tblPr>
        <w:tblStyle w:val="28"/>
        <w:tblW w:w="9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3" w:type="dxa"/>
            <w:tcBorders>
              <w:tl2br w:val="nil"/>
              <w:tr2bl w:val="nil"/>
            </w:tcBorders>
            <w:noWrap/>
            <w:vAlign w:val="center"/>
          </w:tcPr>
          <w:p>
            <w:pPr>
              <w:jc w:val="center"/>
            </w:pPr>
            <w:r>
              <w:rPr>
                <w:b/>
                <w:szCs w:val="21"/>
              </w:rPr>
              <w:t>计分因素</w:t>
            </w:r>
          </w:p>
        </w:tc>
        <w:tc>
          <w:tcPr>
            <w:tcW w:w="7607" w:type="dxa"/>
            <w:tcBorders>
              <w:tl2br w:val="nil"/>
              <w:tr2bl w:val="nil"/>
            </w:tcBorders>
            <w:noWrap/>
            <w:vAlign w:val="center"/>
          </w:tcPr>
          <w:p>
            <w:pPr>
              <w:jc w:val="cente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713" w:type="dxa"/>
            <w:tcBorders>
              <w:tl2br w:val="nil"/>
              <w:tr2bl w:val="nil"/>
            </w:tcBorders>
            <w:noWrap/>
            <w:vAlign w:val="center"/>
          </w:tcPr>
          <w:p>
            <w:pPr>
              <w:jc w:val="center"/>
            </w:pPr>
            <w:r>
              <w:rPr>
                <w:szCs w:val="22"/>
              </w:rPr>
              <w:t>报价</w:t>
            </w:r>
          </w:p>
        </w:tc>
        <w:tc>
          <w:tcPr>
            <w:tcW w:w="7607" w:type="dxa"/>
            <w:tcBorders>
              <w:tl2br w:val="nil"/>
              <w:tr2bl w:val="nil"/>
            </w:tcBorders>
            <w:noWrap/>
            <w:vAlign w:val="center"/>
          </w:tcPr>
          <w:p>
            <w:pPr>
              <w:jc w:val="left"/>
            </w:pPr>
            <w:r>
              <w:t>满足</w:t>
            </w:r>
            <w:r>
              <w:rPr>
                <w:rFonts w:hint="eastAsia"/>
              </w:rPr>
              <w:t>采购</w:t>
            </w:r>
            <w:r>
              <w:t>文件要求且</w:t>
            </w:r>
            <w:r>
              <w:rPr>
                <w:rFonts w:hint="eastAsia"/>
              </w:rPr>
              <w:t>报价</w:t>
            </w:r>
            <w:r>
              <w:t>最低</w:t>
            </w:r>
            <w:r>
              <w:rPr>
                <w:rFonts w:hint="eastAsia"/>
              </w:rPr>
              <w:t>的</w:t>
            </w:r>
            <w:r>
              <w:t>为评</w:t>
            </w:r>
            <w:r>
              <w:rPr>
                <w:rFonts w:hint="eastAsia"/>
              </w:rPr>
              <w:t>审</w:t>
            </w:r>
            <w:r>
              <w:t>基准价，其价格分为满分，其他有效</w:t>
            </w:r>
            <w:r>
              <w:rPr>
                <w:rFonts w:hint="eastAsia"/>
              </w:rPr>
              <w:t>供应商</w:t>
            </w:r>
            <w:r>
              <w:t>的价格分按照下列公式计算：报价得分=（评</w:t>
            </w:r>
            <w:r>
              <w:rPr>
                <w:rFonts w:hint="eastAsia"/>
              </w:rPr>
              <w:t>审</w:t>
            </w:r>
            <w:r>
              <w:t>基准价／报价）×</w:t>
            </w:r>
            <w:r>
              <w:rPr>
                <w:rFonts w:hint="eastAsia"/>
              </w:rPr>
              <w:t>3</w:t>
            </w:r>
            <w:r>
              <w:t>0</w:t>
            </w:r>
            <w:r>
              <w:rPr>
                <w:rFonts w:hint="eastAsia"/>
              </w:rPr>
              <w:t>。</w:t>
            </w:r>
          </w:p>
        </w:tc>
      </w:tr>
    </w:tbl>
    <w:p>
      <w:pPr>
        <w:spacing w:line="360" w:lineRule="auto"/>
        <w:ind w:firstLine="422" w:firstLineChars="200"/>
        <w:rPr>
          <w:b/>
        </w:rPr>
      </w:pPr>
    </w:p>
    <w:p>
      <w:pPr>
        <w:spacing w:line="360" w:lineRule="auto"/>
        <w:ind w:firstLine="422" w:firstLineChars="200"/>
        <w:rPr>
          <w:rFonts w:asciiTheme="minorEastAsia" w:hAnsiTheme="minorEastAsia"/>
        </w:rPr>
      </w:pPr>
      <w:r>
        <w:rPr>
          <w:b/>
        </w:rPr>
        <w:t>3.</w:t>
      </w:r>
      <w:r>
        <w:rPr>
          <w:rFonts w:hint="eastAsia"/>
          <w:b/>
        </w:rPr>
        <w:t>4</w:t>
      </w:r>
      <w:r>
        <w:rPr>
          <w:b/>
        </w:rPr>
        <w:t xml:space="preserve"> 确定</w:t>
      </w:r>
      <w:r>
        <w:rPr>
          <w:rFonts w:hint="eastAsia"/>
          <w:b/>
        </w:rPr>
        <w:t>中选供应商</w:t>
      </w:r>
    </w:p>
    <w:p>
      <w:pPr>
        <w:spacing w:line="360" w:lineRule="auto"/>
        <w:ind w:firstLine="420"/>
        <w:rPr>
          <w:rFonts w:asciiTheme="minorEastAsia" w:hAnsiTheme="minorEastAsia" w:eastAsiaTheme="minorEastAsia"/>
        </w:rPr>
      </w:pPr>
      <w:r>
        <w:t>评</w:t>
      </w:r>
      <w:r>
        <w:rPr>
          <w:rFonts w:hint="eastAsia"/>
        </w:rPr>
        <w:t>审</w:t>
      </w:r>
      <w:r>
        <w:t>委员会对所有进入综合评审的</w:t>
      </w:r>
      <w:r>
        <w:rPr>
          <w:rFonts w:hint="eastAsia"/>
        </w:rPr>
        <w:t>供应商</w:t>
      </w:r>
      <w:r>
        <w:t>，根据其最终评审得分由高到低进行排列（得分相同的，按报价由低到高顺序排列；得分且报价相同的，按技术</w:t>
      </w:r>
      <w:r>
        <w:rPr>
          <w:rFonts w:hint="eastAsia"/>
        </w:rPr>
        <w:t>响应能力</w:t>
      </w:r>
      <w:r>
        <w:t>得分由高到低顺序排列）。选取最终评审得分最高的</w:t>
      </w:r>
      <w:r>
        <w:rPr>
          <w:rFonts w:hint="eastAsia"/>
        </w:rPr>
        <w:t>供应商</w:t>
      </w:r>
      <w:r>
        <w:t>作为中</w:t>
      </w:r>
      <w:r>
        <w:rPr>
          <w:rFonts w:hint="eastAsia"/>
          <w:lang w:val="en-US" w:eastAsia="zh-CN"/>
        </w:rPr>
        <w:t>标</w:t>
      </w:r>
      <w:r>
        <w:t>人。</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9"/>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1B9E"/>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1726"/>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75A"/>
    <w:rsid w:val="005B2CA6"/>
    <w:rsid w:val="005C270C"/>
    <w:rsid w:val="005C70C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24F6F"/>
    <w:rsid w:val="00632876"/>
    <w:rsid w:val="00634E7D"/>
    <w:rsid w:val="0063663E"/>
    <w:rsid w:val="00637501"/>
    <w:rsid w:val="00641B37"/>
    <w:rsid w:val="00642924"/>
    <w:rsid w:val="006522F9"/>
    <w:rsid w:val="00654A05"/>
    <w:rsid w:val="0066140C"/>
    <w:rsid w:val="0066579A"/>
    <w:rsid w:val="00665C7E"/>
    <w:rsid w:val="00680DAD"/>
    <w:rsid w:val="0068103E"/>
    <w:rsid w:val="00681CCC"/>
    <w:rsid w:val="0068226B"/>
    <w:rsid w:val="00686882"/>
    <w:rsid w:val="006870A6"/>
    <w:rsid w:val="006870B9"/>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49CD"/>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0E37"/>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33C9"/>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1ED"/>
    <w:rsid w:val="00A11795"/>
    <w:rsid w:val="00A13AFF"/>
    <w:rsid w:val="00A247C0"/>
    <w:rsid w:val="00A248A7"/>
    <w:rsid w:val="00A264CB"/>
    <w:rsid w:val="00A3107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177"/>
    <w:rsid w:val="00C255A1"/>
    <w:rsid w:val="00C26FE1"/>
    <w:rsid w:val="00C316C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76F44"/>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5CB2"/>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E5747"/>
    <w:rsid w:val="00FF0D50"/>
    <w:rsid w:val="00FF10B0"/>
    <w:rsid w:val="00FF2756"/>
    <w:rsid w:val="00FF4E86"/>
    <w:rsid w:val="00FF5BA7"/>
    <w:rsid w:val="018C517A"/>
    <w:rsid w:val="01D6743C"/>
    <w:rsid w:val="01E4618A"/>
    <w:rsid w:val="025B5EF5"/>
    <w:rsid w:val="02A55418"/>
    <w:rsid w:val="031501A3"/>
    <w:rsid w:val="03455586"/>
    <w:rsid w:val="03742F02"/>
    <w:rsid w:val="03C1537B"/>
    <w:rsid w:val="04002170"/>
    <w:rsid w:val="04652798"/>
    <w:rsid w:val="04705CA0"/>
    <w:rsid w:val="049B2014"/>
    <w:rsid w:val="04B1470B"/>
    <w:rsid w:val="050D12A7"/>
    <w:rsid w:val="05120AC2"/>
    <w:rsid w:val="05AB2A97"/>
    <w:rsid w:val="05B23FEB"/>
    <w:rsid w:val="05D95F4E"/>
    <w:rsid w:val="0627665C"/>
    <w:rsid w:val="066064A8"/>
    <w:rsid w:val="068165D7"/>
    <w:rsid w:val="0689780C"/>
    <w:rsid w:val="068D1F8E"/>
    <w:rsid w:val="0697754E"/>
    <w:rsid w:val="06A13602"/>
    <w:rsid w:val="06EB308C"/>
    <w:rsid w:val="07183297"/>
    <w:rsid w:val="07265EBF"/>
    <w:rsid w:val="072D2A1A"/>
    <w:rsid w:val="073853CE"/>
    <w:rsid w:val="080046AA"/>
    <w:rsid w:val="081E2018"/>
    <w:rsid w:val="08225677"/>
    <w:rsid w:val="08310A23"/>
    <w:rsid w:val="088C4B11"/>
    <w:rsid w:val="08993ACC"/>
    <w:rsid w:val="08BA7475"/>
    <w:rsid w:val="08E17902"/>
    <w:rsid w:val="09163423"/>
    <w:rsid w:val="092042C4"/>
    <w:rsid w:val="094C6A93"/>
    <w:rsid w:val="09617C1A"/>
    <w:rsid w:val="09867DAF"/>
    <w:rsid w:val="09D32431"/>
    <w:rsid w:val="09E26C0C"/>
    <w:rsid w:val="0A144C98"/>
    <w:rsid w:val="0A166022"/>
    <w:rsid w:val="0A214F4C"/>
    <w:rsid w:val="0A3666D1"/>
    <w:rsid w:val="0AFE58ED"/>
    <w:rsid w:val="0B25586A"/>
    <w:rsid w:val="0C550661"/>
    <w:rsid w:val="0C9C5509"/>
    <w:rsid w:val="0CA46B01"/>
    <w:rsid w:val="0CFF58DC"/>
    <w:rsid w:val="0D2014D4"/>
    <w:rsid w:val="0D285C70"/>
    <w:rsid w:val="0D9A5123"/>
    <w:rsid w:val="0DC91B27"/>
    <w:rsid w:val="0DCF1395"/>
    <w:rsid w:val="0DF34FA7"/>
    <w:rsid w:val="0ECA36E4"/>
    <w:rsid w:val="0F1847CA"/>
    <w:rsid w:val="0F942382"/>
    <w:rsid w:val="10130387"/>
    <w:rsid w:val="10307A60"/>
    <w:rsid w:val="10394C53"/>
    <w:rsid w:val="10AC7201"/>
    <w:rsid w:val="10B675A7"/>
    <w:rsid w:val="10C943C8"/>
    <w:rsid w:val="11391FED"/>
    <w:rsid w:val="11AF2A31"/>
    <w:rsid w:val="11BC5705"/>
    <w:rsid w:val="11D16AD7"/>
    <w:rsid w:val="12354F76"/>
    <w:rsid w:val="1337524E"/>
    <w:rsid w:val="134D7B19"/>
    <w:rsid w:val="135E4230"/>
    <w:rsid w:val="145074F4"/>
    <w:rsid w:val="149403A1"/>
    <w:rsid w:val="14C47D90"/>
    <w:rsid w:val="15022E5A"/>
    <w:rsid w:val="15E50F07"/>
    <w:rsid w:val="15E62161"/>
    <w:rsid w:val="162D2B73"/>
    <w:rsid w:val="17337A5C"/>
    <w:rsid w:val="178C4DDA"/>
    <w:rsid w:val="17CD5D17"/>
    <w:rsid w:val="17D12AD9"/>
    <w:rsid w:val="1805586C"/>
    <w:rsid w:val="189B3C69"/>
    <w:rsid w:val="18BA7D62"/>
    <w:rsid w:val="196D05A6"/>
    <w:rsid w:val="19D92454"/>
    <w:rsid w:val="19F94D57"/>
    <w:rsid w:val="1A611DF6"/>
    <w:rsid w:val="1A7F174C"/>
    <w:rsid w:val="1A916DD7"/>
    <w:rsid w:val="1AD0785B"/>
    <w:rsid w:val="1B071617"/>
    <w:rsid w:val="1B2540C7"/>
    <w:rsid w:val="1B33103A"/>
    <w:rsid w:val="1B4F6958"/>
    <w:rsid w:val="1B6028B9"/>
    <w:rsid w:val="1B857B23"/>
    <w:rsid w:val="1BE368B1"/>
    <w:rsid w:val="1BF96085"/>
    <w:rsid w:val="1C1A4A81"/>
    <w:rsid w:val="1C7B4D2C"/>
    <w:rsid w:val="1C7F064A"/>
    <w:rsid w:val="1CDE6049"/>
    <w:rsid w:val="1D057E9D"/>
    <w:rsid w:val="1D2131C3"/>
    <w:rsid w:val="1DB53D19"/>
    <w:rsid w:val="1DC61697"/>
    <w:rsid w:val="1DCA6723"/>
    <w:rsid w:val="1DF90AC0"/>
    <w:rsid w:val="1E041752"/>
    <w:rsid w:val="1E5C082C"/>
    <w:rsid w:val="1E675B99"/>
    <w:rsid w:val="1E977EDE"/>
    <w:rsid w:val="1EBA4767"/>
    <w:rsid w:val="1F5D2F24"/>
    <w:rsid w:val="1FD52279"/>
    <w:rsid w:val="20127EC9"/>
    <w:rsid w:val="201D3009"/>
    <w:rsid w:val="206D5CDF"/>
    <w:rsid w:val="20880C95"/>
    <w:rsid w:val="20DE6C86"/>
    <w:rsid w:val="21212CBE"/>
    <w:rsid w:val="215915F9"/>
    <w:rsid w:val="21734E05"/>
    <w:rsid w:val="220B2ED9"/>
    <w:rsid w:val="22176B23"/>
    <w:rsid w:val="22422B17"/>
    <w:rsid w:val="22A253E3"/>
    <w:rsid w:val="22D53D73"/>
    <w:rsid w:val="22F71F50"/>
    <w:rsid w:val="230C65AE"/>
    <w:rsid w:val="23171AB0"/>
    <w:rsid w:val="2325018E"/>
    <w:rsid w:val="2342327C"/>
    <w:rsid w:val="23AB6332"/>
    <w:rsid w:val="24340585"/>
    <w:rsid w:val="249D6876"/>
    <w:rsid w:val="250B1372"/>
    <w:rsid w:val="253D0540"/>
    <w:rsid w:val="25483652"/>
    <w:rsid w:val="258C5E3B"/>
    <w:rsid w:val="25C52689"/>
    <w:rsid w:val="26636D79"/>
    <w:rsid w:val="26A25D84"/>
    <w:rsid w:val="26A72D06"/>
    <w:rsid w:val="26BB354B"/>
    <w:rsid w:val="26DB1425"/>
    <w:rsid w:val="279D7779"/>
    <w:rsid w:val="27AB3D97"/>
    <w:rsid w:val="27B64B6C"/>
    <w:rsid w:val="27EA63B1"/>
    <w:rsid w:val="27ED2842"/>
    <w:rsid w:val="28654B03"/>
    <w:rsid w:val="29671DD4"/>
    <w:rsid w:val="29BE5138"/>
    <w:rsid w:val="2A002C6D"/>
    <w:rsid w:val="2A073625"/>
    <w:rsid w:val="2A1606C0"/>
    <w:rsid w:val="2A2508E4"/>
    <w:rsid w:val="2A345827"/>
    <w:rsid w:val="2A570954"/>
    <w:rsid w:val="2A804445"/>
    <w:rsid w:val="2A971C79"/>
    <w:rsid w:val="2B2A2CA4"/>
    <w:rsid w:val="2B467C42"/>
    <w:rsid w:val="2C195F9B"/>
    <w:rsid w:val="2C7E4552"/>
    <w:rsid w:val="2C9A533E"/>
    <w:rsid w:val="2CD57435"/>
    <w:rsid w:val="2D0C0E1D"/>
    <w:rsid w:val="2D4756CC"/>
    <w:rsid w:val="2D6E0475"/>
    <w:rsid w:val="2DC26F3D"/>
    <w:rsid w:val="2DF542AD"/>
    <w:rsid w:val="2DFA0469"/>
    <w:rsid w:val="2E285A28"/>
    <w:rsid w:val="2E9720B6"/>
    <w:rsid w:val="2ECA1DA7"/>
    <w:rsid w:val="2F480CE1"/>
    <w:rsid w:val="2F6A52A7"/>
    <w:rsid w:val="2F8E609D"/>
    <w:rsid w:val="2FFD2A96"/>
    <w:rsid w:val="2FFF2976"/>
    <w:rsid w:val="30156A8C"/>
    <w:rsid w:val="30512F09"/>
    <w:rsid w:val="305F789D"/>
    <w:rsid w:val="307A3950"/>
    <w:rsid w:val="30C01727"/>
    <w:rsid w:val="31891474"/>
    <w:rsid w:val="31F262D6"/>
    <w:rsid w:val="322A5612"/>
    <w:rsid w:val="32583708"/>
    <w:rsid w:val="32771325"/>
    <w:rsid w:val="3277424E"/>
    <w:rsid w:val="32831934"/>
    <w:rsid w:val="32B6036A"/>
    <w:rsid w:val="331E6A3E"/>
    <w:rsid w:val="33481D73"/>
    <w:rsid w:val="334F72E8"/>
    <w:rsid w:val="336D468B"/>
    <w:rsid w:val="338812BD"/>
    <w:rsid w:val="338F6731"/>
    <w:rsid w:val="33A23DCE"/>
    <w:rsid w:val="33C92A63"/>
    <w:rsid w:val="341E5F3A"/>
    <w:rsid w:val="34271032"/>
    <w:rsid w:val="34685A58"/>
    <w:rsid w:val="347757F5"/>
    <w:rsid w:val="348A3ED9"/>
    <w:rsid w:val="34B90497"/>
    <w:rsid w:val="350734A3"/>
    <w:rsid w:val="355D303E"/>
    <w:rsid w:val="35B03A51"/>
    <w:rsid w:val="364C5C45"/>
    <w:rsid w:val="36763D0E"/>
    <w:rsid w:val="368C6E84"/>
    <w:rsid w:val="36D25E12"/>
    <w:rsid w:val="371B4D0C"/>
    <w:rsid w:val="376E1C52"/>
    <w:rsid w:val="37B04D93"/>
    <w:rsid w:val="37FD62D9"/>
    <w:rsid w:val="3813504E"/>
    <w:rsid w:val="383068E4"/>
    <w:rsid w:val="38807751"/>
    <w:rsid w:val="38954DCF"/>
    <w:rsid w:val="38C662C1"/>
    <w:rsid w:val="390A151C"/>
    <w:rsid w:val="3910146D"/>
    <w:rsid w:val="39641ECE"/>
    <w:rsid w:val="3970678F"/>
    <w:rsid w:val="397E4B3D"/>
    <w:rsid w:val="39F04529"/>
    <w:rsid w:val="39F4242F"/>
    <w:rsid w:val="3A207A9F"/>
    <w:rsid w:val="3AC86558"/>
    <w:rsid w:val="3AD544C7"/>
    <w:rsid w:val="3BC80FD1"/>
    <w:rsid w:val="3BE871DE"/>
    <w:rsid w:val="3C4840A3"/>
    <w:rsid w:val="3C68713E"/>
    <w:rsid w:val="3CB6253F"/>
    <w:rsid w:val="3CE90BF4"/>
    <w:rsid w:val="3E041D79"/>
    <w:rsid w:val="3E236467"/>
    <w:rsid w:val="3E8A6C19"/>
    <w:rsid w:val="3EB6045C"/>
    <w:rsid w:val="3EBF5E03"/>
    <w:rsid w:val="3F0C01E1"/>
    <w:rsid w:val="3F2504D5"/>
    <w:rsid w:val="3F323959"/>
    <w:rsid w:val="3FD41EB3"/>
    <w:rsid w:val="400F4B84"/>
    <w:rsid w:val="406C2296"/>
    <w:rsid w:val="40767A54"/>
    <w:rsid w:val="40852FAB"/>
    <w:rsid w:val="40875E1F"/>
    <w:rsid w:val="41664EC4"/>
    <w:rsid w:val="41E10D52"/>
    <w:rsid w:val="422A3128"/>
    <w:rsid w:val="422A53D4"/>
    <w:rsid w:val="42676FC7"/>
    <w:rsid w:val="42831F43"/>
    <w:rsid w:val="42AA627B"/>
    <w:rsid w:val="42D246E0"/>
    <w:rsid w:val="42DC2665"/>
    <w:rsid w:val="43456BB9"/>
    <w:rsid w:val="43B0158E"/>
    <w:rsid w:val="43B777DB"/>
    <w:rsid w:val="441D2066"/>
    <w:rsid w:val="44432B7C"/>
    <w:rsid w:val="44A72AB2"/>
    <w:rsid w:val="44E80DB3"/>
    <w:rsid w:val="451E6527"/>
    <w:rsid w:val="45395F66"/>
    <w:rsid w:val="455671C1"/>
    <w:rsid w:val="45896512"/>
    <w:rsid w:val="459565B5"/>
    <w:rsid w:val="468C40DF"/>
    <w:rsid w:val="46967667"/>
    <w:rsid w:val="46C55267"/>
    <w:rsid w:val="46E3464D"/>
    <w:rsid w:val="470E3121"/>
    <w:rsid w:val="47355BB9"/>
    <w:rsid w:val="47B501F4"/>
    <w:rsid w:val="47B60A26"/>
    <w:rsid w:val="47D748D3"/>
    <w:rsid w:val="481644A1"/>
    <w:rsid w:val="485C143E"/>
    <w:rsid w:val="48FB2507"/>
    <w:rsid w:val="4910084E"/>
    <w:rsid w:val="49391299"/>
    <w:rsid w:val="495766B7"/>
    <w:rsid w:val="497324FE"/>
    <w:rsid w:val="498B6081"/>
    <w:rsid w:val="49F332EB"/>
    <w:rsid w:val="4A0B39D2"/>
    <w:rsid w:val="4A4A7A8C"/>
    <w:rsid w:val="4A530560"/>
    <w:rsid w:val="4AE04209"/>
    <w:rsid w:val="4AF45297"/>
    <w:rsid w:val="4B154819"/>
    <w:rsid w:val="4B484AB4"/>
    <w:rsid w:val="4B610648"/>
    <w:rsid w:val="4B652C7D"/>
    <w:rsid w:val="4B776330"/>
    <w:rsid w:val="4BFC0189"/>
    <w:rsid w:val="4C1C589D"/>
    <w:rsid w:val="4C4F78AB"/>
    <w:rsid w:val="4C745739"/>
    <w:rsid w:val="4CDF056D"/>
    <w:rsid w:val="4CE27E06"/>
    <w:rsid w:val="4CE76694"/>
    <w:rsid w:val="4D164F23"/>
    <w:rsid w:val="4D261A31"/>
    <w:rsid w:val="4D461501"/>
    <w:rsid w:val="4D521561"/>
    <w:rsid w:val="4D6A5F64"/>
    <w:rsid w:val="4DAF5741"/>
    <w:rsid w:val="4DBB0CF8"/>
    <w:rsid w:val="4DCE7B71"/>
    <w:rsid w:val="4DD068B2"/>
    <w:rsid w:val="4DD83DCD"/>
    <w:rsid w:val="4DDC6DE8"/>
    <w:rsid w:val="4E1D168D"/>
    <w:rsid w:val="4E74249F"/>
    <w:rsid w:val="4E8B2CBD"/>
    <w:rsid w:val="4E8F5B70"/>
    <w:rsid w:val="4E971D43"/>
    <w:rsid w:val="4ED65A21"/>
    <w:rsid w:val="4EE512D3"/>
    <w:rsid w:val="4EEB0725"/>
    <w:rsid w:val="4F5355AE"/>
    <w:rsid w:val="4F921B8E"/>
    <w:rsid w:val="4FB21CE4"/>
    <w:rsid w:val="4FBC09FD"/>
    <w:rsid w:val="501D2EC0"/>
    <w:rsid w:val="505A1672"/>
    <w:rsid w:val="50697521"/>
    <w:rsid w:val="506B5A5A"/>
    <w:rsid w:val="50CC3AD6"/>
    <w:rsid w:val="50F17DCA"/>
    <w:rsid w:val="516C0EC8"/>
    <w:rsid w:val="51793AFC"/>
    <w:rsid w:val="5183739E"/>
    <w:rsid w:val="51C66B7C"/>
    <w:rsid w:val="521467AD"/>
    <w:rsid w:val="5227084F"/>
    <w:rsid w:val="52797C95"/>
    <w:rsid w:val="53040886"/>
    <w:rsid w:val="538632DB"/>
    <w:rsid w:val="53B74254"/>
    <w:rsid w:val="54AD3434"/>
    <w:rsid w:val="54B42CC7"/>
    <w:rsid w:val="54D81E32"/>
    <w:rsid w:val="554B0DD3"/>
    <w:rsid w:val="5568732A"/>
    <w:rsid w:val="5629586F"/>
    <w:rsid w:val="56FF7F5A"/>
    <w:rsid w:val="570909AE"/>
    <w:rsid w:val="57600BE6"/>
    <w:rsid w:val="57760F5A"/>
    <w:rsid w:val="57CE4312"/>
    <w:rsid w:val="57DD1369"/>
    <w:rsid w:val="58172381"/>
    <w:rsid w:val="583C167A"/>
    <w:rsid w:val="58412F96"/>
    <w:rsid w:val="58766866"/>
    <w:rsid w:val="588F0BF6"/>
    <w:rsid w:val="58FB1A50"/>
    <w:rsid w:val="599357E1"/>
    <w:rsid w:val="59F913C6"/>
    <w:rsid w:val="5A8E28B1"/>
    <w:rsid w:val="5BCA6968"/>
    <w:rsid w:val="5C166BBE"/>
    <w:rsid w:val="5C30525D"/>
    <w:rsid w:val="5C402D6D"/>
    <w:rsid w:val="5C4C3D46"/>
    <w:rsid w:val="5C4E7618"/>
    <w:rsid w:val="5C791414"/>
    <w:rsid w:val="5C9669AF"/>
    <w:rsid w:val="5C970611"/>
    <w:rsid w:val="5D2029F6"/>
    <w:rsid w:val="5D8136D7"/>
    <w:rsid w:val="5D8C7089"/>
    <w:rsid w:val="5D8F7F45"/>
    <w:rsid w:val="5DE024E0"/>
    <w:rsid w:val="5DF216C3"/>
    <w:rsid w:val="5E7B175C"/>
    <w:rsid w:val="5E841221"/>
    <w:rsid w:val="5EAB09CA"/>
    <w:rsid w:val="5F2F5EEF"/>
    <w:rsid w:val="5F5144BC"/>
    <w:rsid w:val="5FB94354"/>
    <w:rsid w:val="5FD7664C"/>
    <w:rsid w:val="603B4A94"/>
    <w:rsid w:val="60445930"/>
    <w:rsid w:val="609C0CDF"/>
    <w:rsid w:val="60C47377"/>
    <w:rsid w:val="60CB2F05"/>
    <w:rsid w:val="60E35DF3"/>
    <w:rsid w:val="61163623"/>
    <w:rsid w:val="6127407B"/>
    <w:rsid w:val="61B177DB"/>
    <w:rsid w:val="61E32E2B"/>
    <w:rsid w:val="6203126D"/>
    <w:rsid w:val="623840EA"/>
    <w:rsid w:val="62AF4684"/>
    <w:rsid w:val="62BD155E"/>
    <w:rsid w:val="62C620E2"/>
    <w:rsid w:val="641474B9"/>
    <w:rsid w:val="64300ACD"/>
    <w:rsid w:val="64335487"/>
    <w:rsid w:val="646E4CF3"/>
    <w:rsid w:val="648B4657"/>
    <w:rsid w:val="64EC281A"/>
    <w:rsid w:val="65527A94"/>
    <w:rsid w:val="65AE517D"/>
    <w:rsid w:val="662811D5"/>
    <w:rsid w:val="663D2555"/>
    <w:rsid w:val="66587C7E"/>
    <w:rsid w:val="666B1573"/>
    <w:rsid w:val="66890F02"/>
    <w:rsid w:val="66A74F3C"/>
    <w:rsid w:val="66AA5E69"/>
    <w:rsid w:val="67582F0D"/>
    <w:rsid w:val="67675FB6"/>
    <w:rsid w:val="67741B7D"/>
    <w:rsid w:val="67DB488D"/>
    <w:rsid w:val="67EF58B9"/>
    <w:rsid w:val="684C132C"/>
    <w:rsid w:val="68771EA7"/>
    <w:rsid w:val="68941C8F"/>
    <w:rsid w:val="69A7154F"/>
    <w:rsid w:val="6A010EF7"/>
    <w:rsid w:val="6A2B42D0"/>
    <w:rsid w:val="6A313944"/>
    <w:rsid w:val="6A59769D"/>
    <w:rsid w:val="6AED1265"/>
    <w:rsid w:val="6B741DC0"/>
    <w:rsid w:val="6B881EC7"/>
    <w:rsid w:val="6B932045"/>
    <w:rsid w:val="6BB64F47"/>
    <w:rsid w:val="6BEF6097"/>
    <w:rsid w:val="6C01449C"/>
    <w:rsid w:val="6C367824"/>
    <w:rsid w:val="6C611D18"/>
    <w:rsid w:val="6C73479B"/>
    <w:rsid w:val="6C7B5DB9"/>
    <w:rsid w:val="6C9B006E"/>
    <w:rsid w:val="6CBD02F5"/>
    <w:rsid w:val="6CCB426B"/>
    <w:rsid w:val="6CED0F35"/>
    <w:rsid w:val="6CF3614D"/>
    <w:rsid w:val="6D0632F0"/>
    <w:rsid w:val="6D3C3F99"/>
    <w:rsid w:val="6D857C41"/>
    <w:rsid w:val="6DA35FE8"/>
    <w:rsid w:val="6DA747CE"/>
    <w:rsid w:val="6E236C9C"/>
    <w:rsid w:val="6F707783"/>
    <w:rsid w:val="6FA30157"/>
    <w:rsid w:val="704007D6"/>
    <w:rsid w:val="707A1630"/>
    <w:rsid w:val="709106DA"/>
    <w:rsid w:val="70E6769A"/>
    <w:rsid w:val="7113106B"/>
    <w:rsid w:val="713967D6"/>
    <w:rsid w:val="713F343B"/>
    <w:rsid w:val="715325E2"/>
    <w:rsid w:val="71793A2F"/>
    <w:rsid w:val="71AF2A55"/>
    <w:rsid w:val="71B22967"/>
    <w:rsid w:val="71DF1EA0"/>
    <w:rsid w:val="71E2591D"/>
    <w:rsid w:val="724246EC"/>
    <w:rsid w:val="72A33D18"/>
    <w:rsid w:val="731B0D5A"/>
    <w:rsid w:val="7350257F"/>
    <w:rsid w:val="738B10E5"/>
    <w:rsid w:val="73E92A26"/>
    <w:rsid w:val="73F25524"/>
    <w:rsid w:val="73FD75E4"/>
    <w:rsid w:val="740C116D"/>
    <w:rsid w:val="7463495E"/>
    <w:rsid w:val="748D1D97"/>
    <w:rsid w:val="7506752C"/>
    <w:rsid w:val="75A84C52"/>
    <w:rsid w:val="761E13A3"/>
    <w:rsid w:val="763569BF"/>
    <w:rsid w:val="765F6CF7"/>
    <w:rsid w:val="767368F4"/>
    <w:rsid w:val="76815BB7"/>
    <w:rsid w:val="76B66D69"/>
    <w:rsid w:val="76C55442"/>
    <w:rsid w:val="770D3506"/>
    <w:rsid w:val="776B0BE5"/>
    <w:rsid w:val="78047622"/>
    <w:rsid w:val="78466D97"/>
    <w:rsid w:val="784C4A35"/>
    <w:rsid w:val="784D4934"/>
    <w:rsid w:val="785B3CD3"/>
    <w:rsid w:val="78736D61"/>
    <w:rsid w:val="78BF155E"/>
    <w:rsid w:val="7905065E"/>
    <w:rsid w:val="7A240718"/>
    <w:rsid w:val="7A6850B3"/>
    <w:rsid w:val="7AA51A87"/>
    <w:rsid w:val="7AE200E9"/>
    <w:rsid w:val="7B375F1E"/>
    <w:rsid w:val="7B510A7D"/>
    <w:rsid w:val="7B8C0E40"/>
    <w:rsid w:val="7B9F282B"/>
    <w:rsid w:val="7BB01A20"/>
    <w:rsid w:val="7BE2586C"/>
    <w:rsid w:val="7C6002B5"/>
    <w:rsid w:val="7C6046E5"/>
    <w:rsid w:val="7C6A2D22"/>
    <w:rsid w:val="7C937F04"/>
    <w:rsid w:val="7CB272AB"/>
    <w:rsid w:val="7D031295"/>
    <w:rsid w:val="7D8C4396"/>
    <w:rsid w:val="7DC9138E"/>
    <w:rsid w:val="7DF93E6B"/>
    <w:rsid w:val="7E2A5F94"/>
    <w:rsid w:val="7EA26E25"/>
    <w:rsid w:val="7EFF4990"/>
    <w:rsid w:val="7F1963FE"/>
    <w:rsid w:val="7F6A2E29"/>
    <w:rsid w:val="7F977030"/>
    <w:rsid w:val="7FAD1291"/>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pPr>
  </w:style>
  <w:style w:type="paragraph" w:styleId="7">
    <w:name w:val="caption"/>
    <w:basedOn w:val="1"/>
    <w:next w:val="1"/>
    <w:qFormat/>
    <w:uiPriority w:val="0"/>
    <w:pPr>
      <w:spacing w:line="480" w:lineRule="auto"/>
    </w:pPr>
    <w:rPr>
      <w:rFonts w:ascii="华文中宋" w:hAnsi="华文中宋" w:eastAsia="华文中宋"/>
      <w:sz w:val="36"/>
    </w:rPr>
  </w:style>
  <w:style w:type="paragraph" w:styleId="8">
    <w:name w:val="Document Map"/>
    <w:basedOn w:val="1"/>
    <w:qFormat/>
    <w:uiPriority w:val="0"/>
    <w:pPr>
      <w:shd w:val="clear" w:color="auto" w:fill="000080"/>
    </w:pPr>
  </w:style>
  <w:style w:type="paragraph" w:styleId="9">
    <w:name w:val="annotation text"/>
    <w:basedOn w:val="1"/>
    <w:link w:val="36"/>
    <w:qFormat/>
    <w:uiPriority w:val="0"/>
    <w:pPr>
      <w:jc w:val="left"/>
    </w:pPr>
    <w:rPr>
      <w:kern w:val="2"/>
      <w:szCs w:val="24"/>
    </w:rPr>
  </w:style>
  <w:style w:type="paragraph" w:styleId="10">
    <w:name w:val="Body Text"/>
    <w:basedOn w:val="1"/>
    <w:qFormat/>
    <w:uiPriority w:val="0"/>
    <w:pPr>
      <w:spacing w:line="360" w:lineRule="auto"/>
    </w:pPr>
    <w:rPr>
      <w:sz w:val="24"/>
    </w:rPr>
  </w:style>
  <w:style w:type="paragraph" w:styleId="11">
    <w:name w:val="Body Text Indent"/>
    <w:basedOn w:val="1"/>
    <w:qFormat/>
    <w:uiPriority w:val="0"/>
    <w:pPr>
      <w:ind w:firstLine="444"/>
    </w:pPr>
    <w:rPr>
      <w:b/>
      <w:sz w:val="24"/>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34"/>
    <w:qFormat/>
    <w:uiPriority w:val="0"/>
    <w:rPr>
      <w:rFonts w:ascii="宋体" w:hAnsi="Courier New"/>
      <w:kern w:val="2"/>
    </w:rPr>
  </w:style>
  <w:style w:type="paragraph" w:styleId="15">
    <w:name w:val="toc 8"/>
    <w:basedOn w:val="1"/>
    <w:next w:val="1"/>
    <w:qFormat/>
    <w:uiPriority w:val="0"/>
    <w:pPr>
      <w:ind w:left="2940" w:leftChars="1400"/>
    </w:p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sz w:val="24"/>
    </w:rPr>
  </w:style>
  <w:style w:type="paragraph" w:styleId="18">
    <w:name w:val="Balloon Text"/>
    <w:basedOn w:val="1"/>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9231"/>
      </w:tabs>
      <w:spacing w:line="360" w:lineRule="auto"/>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Lines="50"/>
      <w:ind w:firstLine="420" w:firstLineChars="200"/>
    </w:pPr>
    <w:rPr>
      <w:szCs w:val="21"/>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annotation subject"/>
    <w:basedOn w:val="9"/>
    <w:next w:val="9"/>
    <w:link w:val="40"/>
    <w:qFormat/>
    <w:uiPriority w:val="0"/>
    <w:rPr>
      <w:b/>
      <w:bCs/>
      <w:kern w:val="0"/>
      <w:szCs w:val="20"/>
    </w:rPr>
  </w:style>
  <w:style w:type="character" w:styleId="30">
    <w:name w:val="page number"/>
    <w:basedOn w:val="29"/>
    <w:qFormat/>
    <w:uiPriority w:val="0"/>
    <w:rPr>
      <w:rFonts w:eastAsia="黑体"/>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纯文本 Char"/>
    <w:link w:val="14"/>
    <w:qFormat/>
    <w:uiPriority w:val="0"/>
    <w:rPr>
      <w:rFonts w:ascii="宋体" w:hAnsi="Courier New"/>
      <w:kern w:val="2"/>
      <w:sz w:val="21"/>
      <w:lang w:bidi="ar-SA"/>
    </w:rPr>
  </w:style>
  <w:style w:type="character" w:customStyle="1" w:styleId="35">
    <w:name w:val="info style4"/>
    <w:basedOn w:val="29"/>
    <w:qFormat/>
    <w:uiPriority w:val="0"/>
  </w:style>
  <w:style w:type="character" w:customStyle="1" w:styleId="36">
    <w:name w:val="批注文字 Char"/>
    <w:link w:val="9"/>
    <w:qFormat/>
    <w:uiPriority w:val="0"/>
    <w:rPr>
      <w:kern w:val="2"/>
      <w:sz w:val="21"/>
      <w:szCs w:val="24"/>
      <w:lang w:bidi="ar-SA"/>
    </w:rPr>
  </w:style>
  <w:style w:type="paragraph" w:customStyle="1" w:styleId="37">
    <w:name w:val="Char1"/>
    <w:basedOn w:val="1"/>
    <w:qFormat/>
    <w:uiPriority w:val="0"/>
    <w:pPr>
      <w:widowControl/>
      <w:spacing w:after="160" w:line="240" w:lineRule="exact"/>
      <w:jc w:val="left"/>
    </w:pPr>
    <w:rPr>
      <w:szCs w:val="24"/>
    </w:rPr>
  </w:style>
  <w:style w:type="paragraph" w:customStyle="1" w:styleId="38">
    <w:name w:val="Char2"/>
    <w:basedOn w:val="1"/>
    <w:qFormat/>
    <w:uiPriority w:val="0"/>
    <w:rPr>
      <w:rFonts w:ascii="Tahoma" w:hAnsi="Tahoma"/>
      <w:sz w:val="24"/>
    </w:rPr>
  </w:style>
  <w:style w:type="paragraph" w:customStyle="1" w:styleId="39">
    <w:name w:val="1"/>
    <w:basedOn w:val="1"/>
    <w:qFormat/>
    <w:uiPriority w:val="0"/>
    <w:pPr>
      <w:spacing w:afterLines="50" w:line="440" w:lineRule="exact"/>
      <w:jc w:val="center"/>
    </w:pPr>
    <w:rPr>
      <w:rFonts w:ascii="宋体" w:hAnsi="宋体"/>
      <w:b/>
      <w:sz w:val="36"/>
      <w:szCs w:val="36"/>
    </w:rPr>
  </w:style>
  <w:style w:type="character" w:customStyle="1" w:styleId="40">
    <w:name w:val="批注主题 Char"/>
    <w:link w:val="27"/>
    <w:qFormat/>
    <w:uiPriority w:val="0"/>
    <w:rPr>
      <w:b/>
      <w:bCs/>
      <w:sz w:val="21"/>
      <w:lang w:bidi="ar-SA"/>
    </w:rPr>
  </w:style>
  <w:style w:type="paragraph" w:customStyle="1" w:styleId="41">
    <w:name w:val="Char Char Char"/>
    <w:basedOn w:val="1"/>
    <w:qFormat/>
    <w:uiPriority w:val="0"/>
    <w:pPr>
      <w:adjustRightInd/>
      <w:spacing w:line="240" w:lineRule="auto"/>
      <w:textAlignment w:val="auto"/>
    </w:pPr>
    <w:rPr>
      <w:kern w:val="2"/>
    </w:rPr>
  </w:style>
  <w:style w:type="character" w:customStyle="1" w:styleId="42">
    <w:name w:val="Char Char4"/>
    <w:qFormat/>
    <w:uiPriority w:val="0"/>
    <w:rPr>
      <w:rFonts w:ascii="宋体" w:hAnsi="Courier New"/>
      <w:kern w:val="2"/>
      <w:sz w:val="21"/>
    </w:rPr>
  </w:style>
  <w:style w:type="character" w:customStyle="1" w:styleId="43">
    <w:name w:val="页脚 Char"/>
    <w:basedOn w:val="29"/>
    <w:link w:val="19"/>
    <w:qFormat/>
    <w:uiPriority w:val="99"/>
    <w:rPr>
      <w:sz w:val="18"/>
    </w:rPr>
  </w:style>
  <w:style w:type="paragraph" w:customStyle="1" w:styleId="44">
    <w:name w:val="p0"/>
    <w:basedOn w:val="1"/>
    <w:qFormat/>
    <w:uiPriority w:val="0"/>
    <w:pPr>
      <w:widowControl/>
    </w:pPr>
  </w:style>
  <w:style w:type="paragraph" w:customStyle="1" w:styleId="45">
    <w:name w:val="p15"/>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1203</Words>
  <Characters>6860</Characters>
  <Lines>57</Lines>
  <Paragraphs>16</Paragraphs>
  <TotalTime>206</TotalTime>
  <ScaleCrop>false</ScaleCrop>
  <LinksUpToDate>false</LinksUpToDate>
  <CharactersWithSpaces>8047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平常心</cp:lastModifiedBy>
  <cp:lastPrinted>2019-09-20T03:03:00Z</cp:lastPrinted>
  <dcterms:modified xsi:type="dcterms:W3CDTF">2021-06-21T07:41:17Z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18636951B2034CDC80124D3A0503B730</vt:lpwstr>
  </property>
</Properties>
</file>