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086" w:tblpY="337"/>
        <w:tblOverlap w:val="never"/>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4"/>
        <w:gridCol w:w="1462"/>
        <w:gridCol w:w="1987"/>
        <w:gridCol w:w="4587"/>
        <w:gridCol w:w="872"/>
        <w:gridCol w:w="1123"/>
        <w:gridCol w:w="325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80" w:type="dxa"/>
            <w:gridSpan w:val="8"/>
            <w:shd w:val="clear" w:color="auto" w:fill="auto"/>
            <w:vAlign w:val="center"/>
          </w:tcPr>
          <w:p>
            <w:pPr>
              <w:jc w:val="both"/>
              <w:rPr>
                <w:rFonts w:hint="default" w:ascii="宋体" w:hAnsi="宋体" w:eastAsia="宋体" w:cs="宋体"/>
                <w:b/>
                <w:bCs/>
                <w:i w:val="0"/>
                <w:iCs w:val="0"/>
                <w:color w:val="000000"/>
                <w:kern w:val="0"/>
                <w:sz w:val="22"/>
                <w:szCs w:val="22"/>
                <w:u w:val="none"/>
                <w:lang w:val="en-US" w:eastAsia="zh-CN" w:bidi="ar"/>
              </w:rPr>
            </w:pPr>
            <w:bookmarkStart w:id="0" w:name="_GoBack"/>
            <w:bookmarkEnd w:id="0"/>
            <w:r>
              <w:rPr>
                <w:rFonts w:hint="eastAsia" w:ascii="宋体" w:hAnsi="宋体" w:cs="宋体"/>
                <w:b/>
                <w:bCs/>
                <w:sz w:val="32"/>
                <w:szCs w:val="32"/>
                <w:lang w:val="en-US" w:eastAsia="zh-CN"/>
              </w:rPr>
              <w:t>附件                       新增药学类医疗服务价格项目汇总表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75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项目编码</w:t>
            </w:r>
          </w:p>
        </w:tc>
        <w:tc>
          <w:tcPr>
            <w:tcW w:w="19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458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项目内涵</w:t>
            </w:r>
          </w:p>
        </w:tc>
        <w:tc>
          <w:tcPr>
            <w:tcW w:w="8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计价</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二类二档价格</w:t>
            </w:r>
          </w:p>
        </w:tc>
        <w:tc>
          <w:tcPr>
            <w:tcW w:w="3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c>
          <w:tcPr>
            <w:tcW w:w="84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111100001</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药学门诊诊查费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（主管药师）</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指主管药师在门诊固定场所为患者提供单独直接的药物治疗既往史记录，开展用药指导、干预或提出用药意见，并书写记录。</w:t>
            </w:r>
          </w:p>
        </w:tc>
        <w:tc>
          <w:tcPr>
            <w:tcW w:w="8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限省、市三级公立医疗机构收取。</w:t>
            </w:r>
          </w:p>
        </w:tc>
        <w:tc>
          <w:tcPr>
            <w:tcW w:w="840" w:type="dxa"/>
            <w:shd w:val="clear" w:color="auto" w:fill="auto"/>
            <w:vAlign w:val="center"/>
          </w:tcPr>
          <w:p>
            <w:pPr>
              <w:keepNext w:val="0"/>
              <w:keepLines w:val="0"/>
              <w:widowControl/>
              <w:suppressLineNumbers w:val="0"/>
              <w:jc w:val="center"/>
              <w:textAlignment w:val="center"/>
              <w:rPr>
                <w:rFonts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trPr>
        <w:tc>
          <w:tcPr>
            <w:tcW w:w="7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111100002</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药学门诊诊查费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（副主任药师）</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指副主任药师在门诊固定场所为患者提供单独直接的药物治疗既往史记录，开展用药指导、干预或提出用药意见，并书写记录。</w:t>
            </w:r>
          </w:p>
        </w:tc>
        <w:tc>
          <w:tcPr>
            <w:tcW w:w="8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限省、市三级公立医疗机构收取。</w:t>
            </w:r>
          </w:p>
        </w:tc>
        <w:tc>
          <w:tcPr>
            <w:tcW w:w="840" w:type="dxa"/>
            <w:shd w:val="clear" w:color="auto" w:fill="auto"/>
            <w:vAlign w:val="center"/>
          </w:tcPr>
          <w:p>
            <w:pPr>
              <w:keepNext w:val="0"/>
              <w:keepLines w:val="0"/>
              <w:widowControl/>
              <w:suppressLineNumbers w:val="0"/>
              <w:jc w:val="center"/>
              <w:textAlignment w:val="center"/>
              <w:rPr>
                <w:rFonts w:hint="default"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trPr>
        <w:tc>
          <w:tcPr>
            <w:tcW w:w="7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111100003</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药学门诊诊查费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（主任药师）</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指主任药师在门诊固定场所为患者提供单独直接的药物治疗既往史记录，开展用药指导、干预或提出用药意见，并书写记录。</w:t>
            </w:r>
          </w:p>
        </w:tc>
        <w:tc>
          <w:tcPr>
            <w:tcW w:w="8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2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限省、市三级公立医疗机构收取。</w:t>
            </w:r>
          </w:p>
        </w:tc>
        <w:tc>
          <w:tcPr>
            <w:tcW w:w="840" w:type="dxa"/>
            <w:shd w:val="clear" w:color="auto" w:fill="auto"/>
            <w:vAlign w:val="center"/>
          </w:tcPr>
          <w:p>
            <w:pPr>
              <w:keepNext w:val="0"/>
              <w:keepLines w:val="0"/>
              <w:widowControl/>
              <w:suppressLineNumbers w:val="0"/>
              <w:jc w:val="center"/>
              <w:textAlignment w:val="center"/>
              <w:rPr>
                <w:rFonts w:hint="default"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2" w:hRule="atLeast"/>
        </w:trPr>
        <w:tc>
          <w:tcPr>
            <w:tcW w:w="7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110200007-01</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住院诊查费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（临床药学巡诊加收）</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规定资质的临床药师参与临床医师住院巡诊，综合研判患者、疾病、用药情况和检测结果，协同制定合理化、个体化药物治疗方案，实施药物定量计算和药物重整，开展疗效观察和药物不良反应监测，进行临床用药干预，并在病程病历中体现记录。</w:t>
            </w:r>
          </w:p>
        </w:tc>
        <w:tc>
          <w:tcPr>
            <w:tcW w:w="8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
                <w:sz w:val="18"/>
                <w:szCs w:val="18"/>
                <w:lang w:val="en-US" w:eastAsia="zh-CN" w:bidi="ar"/>
              </w:rPr>
              <w:t>限省、市三级公立医疗机构收取。符合规定资质的临床药师参与临床医师住院巡诊，按照每日10元收取；住院天数</w:t>
            </w:r>
            <w:r>
              <w:rPr>
                <w:rStyle w:val="5"/>
                <w:rFonts w:eastAsia="宋体"/>
                <w:sz w:val="18"/>
                <w:szCs w:val="18"/>
                <w:lang w:val="en-US" w:eastAsia="zh-CN" w:bidi="ar"/>
              </w:rPr>
              <w:t>≤30</w:t>
            </w:r>
            <w:r>
              <w:rPr>
                <w:rStyle w:val="4"/>
                <w:sz w:val="18"/>
                <w:szCs w:val="18"/>
                <w:lang w:val="en-US" w:eastAsia="zh-CN" w:bidi="ar"/>
              </w:rPr>
              <w:t>天的，收取费用不高于</w:t>
            </w:r>
            <w:r>
              <w:rPr>
                <w:rStyle w:val="5"/>
                <w:rFonts w:eastAsia="宋体"/>
                <w:sz w:val="18"/>
                <w:szCs w:val="18"/>
                <w:lang w:val="en-US" w:eastAsia="zh-CN" w:bidi="ar"/>
              </w:rPr>
              <w:t>60</w:t>
            </w:r>
            <w:r>
              <w:rPr>
                <w:rStyle w:val="4"/>
                <w:sz w:val="18"/>
                <w:szCs w:val="18"/>
                <w:lang w:val="en-US" w:eastAsia="zh-CN" w:bidi="ar"/>
              </w:rPr>
              <w:t>元；住院天数＞</w:t>
            </w:r>
            <w:r>
              <w:rPr>
                <w:rStyle w:val="5"/>
                <w:rFonts w:eastAsia="宋体"/>
                <w:sz w:val="18"/>
                <w:szCs w:val="18"/>
                <w:lang w:val="en-US" w:eastAsia="zh-CN" w:bidi="ar"/>
              </w:rPr>
              <w:t>30</w:t>
            </w:r>
            <w:r>
              <w:rPr>
                <w:rStyle w:val="4"/>
                <w:sz w:val="18"/>
                <w:szCs w:val="18"/>
                <w:lang w:val="en-US" w:eastAsia="zh-CN" w:bidi="ar"/>
              </w:rPr>
              <w:t>天的，收取费用不高于</w:t>
            </w:r>
            <w:r>
              <w:rPr>
                <w:rStyle w:val="5"/>
                <w:rFonts w:eastAsia="宋体"/>
                <w:sz w:val="18"/>
                <w:szCs w:val="18"/>
                <w:lang w:val="en-US" w:eastAsia="zh-CN" w:bidi="ar"/>
              </w:rPr>
              <w:t>100</w:t>
            </w:r>
            <w:r>
              <w:rPr>
                <w:rStyle w:val="4"/>
                <w:sz w:val="18"/>
                <w:szCs w:val="18"/>
                <w:lang w:val="en-US" w:eastAsia="zh-CN" w:bidi="ar"/>
              </w:rPr>
              <w:t>元；家庭病床不执行该加收政策。</w:t>
            </w:r>
          </w:p>
        </w:tc>
        <w:tc>
          <w:tcPr>
            <w:tcW w:w="840" w:type="dxa"/>
            <w:shd w:val="clear" w:color="auto" w:fill="auto"/>
            <w:noWrap/>
            <w:vAlign w:val="center"/>
          </w:tcPr>
          <w:p>
            <w:pPr>
              <w:keepNext w:val="0"/>
              <w:keepLines w:val="0"/>
              <w:widowControl/>
              <w:suppressLineNumbers w:val="0"/>
              <w:jc w:val="center"/>
              <w:textAlignment w:val="center"/>
              <w:rPr>
                <w:rFonts w:hint="default"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111100005</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细胞毒性药物配置</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含配置材料</w:t>
            </w:r>
          </w:p>
        </w:tc>
        <w:tc>
          <w:tcPr>
            <w:tcW w:w="8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5"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5"/>
                <w:rFonts w:eastAsia="宋体"/>
                <w:sz w:val="18"/>
                <w:szCs w:val="18"/>
                <w:lang w:val="en-US" w:eastAsia="zh-CN" w:bidi="ar"/>
              </w:rPr>
              <w:t>6</w:t>
            </w:r>
            <w:r>
              <w:rPr>
                <w:rStyle w:val="4"/>
                <w:sz w:val="18"/>
                <w:szCs w:val="18"/>
                <w:lang w:val="en-US" w:eastAsia="zh-CN" w:bidi="ar"/>
              </w:rPr>
              <w:t>周岁及以下儿童在相应价格基础上加收</w:t>
            </w:r>
            <w:r>
              <w:rPr>
                <w:rStyle w:val="5"/>
                <w:rFonts w:eastAsia="宋体"/>
                <w:sz w:val="18"/>
                <w:szCs w:val="18"/>
                <w:lang w:val="en-US" w:eastAsia="zh-CN" w:bidi="ar"/>
              </w:rPr>
              <w:t>30%</w:t>
            </w:r>
            <w:r>
              <w:rPr>
                <w:rStyle w:val="4"/>
                <w:sz w:val="18"/>
                <w:szCs w:val="18"/>
                <w:lang w:val="en-US" w:eastAsia="zh-CN" w:bidi="ar"/>
              </w:rPr>
              <w:t>。</w:t>
            </w:r>
          </w:p>
        </w:tc>
        <w:tc>
          <w:tcPr>
            <w:tcW w:w="840" w:type="dxa"/>
            <w:shd w:val="clear" w:color="auto" w:fill="auto"/>
            <w:noWrap/>
            <w:vAlign w:val="center"/>
          </w:tcPr>
          <w:p>
            <w:pPr>
              <w:keepNext w:val="0"/>
              <w:keepLines w:val="0"/>
              <w:widowControl/>
              <w:suppressLineNumbers w:val="0"/>
              <w:jc w:val="center"/>
              <w:textAlignment w:val="center"/>
              <w:rPr>
                <w:rFonts w:hint="default"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754" w:type="dxa"/>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111000002</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院内会诊</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
                <w:sz w:val="18"/>
                <w:szCs w:val="18"/>
                <w:lang w:val="en-US" w:eastAsia="zh-CN" w:bidi="ar"/>
              </w:rPr>
              <w:t>因病情需要在医院内进行的科室间的医疗</w:t>
            </w:r>
            <w:r>
              <w:rPr>
                <w:rStyle w:val="4"/>
                <w:color w:val="auto"/>
                <w:sz w:val="18"/>
                <w:szCs w:val="18"/>
                <w:lang w:val="en-US" w:eastAsia="zh-CN" w:bidi="ar"/>
              </w:rPr>
              <w:t>、</w:t>
            </w:r>
            <w:r>
              <w:rPr>
                <w:rStyle w:val="6"/>
                <w:color w:val="auto"/>
                <w:sz w:val="18"/>
                <w:szCs w:val="18"/>
                <w:lang w:val="en-US" w:eastAsia="zh-CN" w:bidi="ar"/>
              </w:rPr>
              <w:t>药学、</w:t>
            </w:r>
            <w:r>
              <w:rPr>
                <w:rStyle w:val="4"/>
                <w:sz w:val="18"/>
                <w:szCs w:val="18"/>
                <w:lang w:val="en-US" w:eastAsia="zh-CN" w:bidi="ar"/>
              </w:rPr>
              <w:t>护理会诊。</w:t>
            </w:r>
          </w:p>
        </w:tc>
        <w:tc>
          <w:tcPr>
            <w:tcW w:w="872" w:type="dxa"/>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1123"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药学会诊费限省、市三级公立医疗机构收取。</w:t>
            </w:r>
          </w:p>
        </w:tc>
        <w:tc>
          <w:tcPr>
            <w:tcW w:w="840" w:type="dxa"/>
            <w:shd w:val="clear" w:color="auto" w:fill="auto"/>
            <w:noWrap/>
            <w:vAlign w:val="center"/>
          </w:tcPr>
          <w:p>
            <w:pPr>
              <w:keepNext w:val="0"/>
              <w:keepLines w:val="0"/>
              <w:widowControl/>
              <w:suppressLineNumbers w:val="0"/>
              <w:jc w:val="center"/>
              <w:textAlignment w:val="center"/>
              <w:rPr>
                <w:rFonts w:hint="default"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111000002-1</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主任医师</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主任药师参照执行。</w:t>
            </w:r>
          </w:p>
        </w:tc>
        <w:tc>
          <w:tcPr>
            <w:tcW w:w="8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科/次</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255" w:type="dxa"/>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shd w:val="clear" w:color="auto" w:fill="auto"/>
            <w:noWrap/>
            <w:vAlign w:val="center"/>
          </w:tcPr>
          <w:p>
            <w:pPr>
              <w:keepNext w:val="0"/>
              <w:keepLines w:val="0"/>
              <w:widowControl/>
              <w:suppressLineNumbers w:val="0"/>
              <w:jc w:val="center"/>
              <w:textAlignment w:val="center"/>
              <w:rPr>
                <w:rFonts w:hint="default"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7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111000002-2</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副主任医师</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副主任药师参照执行。</w:t>
            </w:r>
          </w:p>
        </w:tc>
        <w:tc>
          <w:tcPr>
            <w:tcW w:w="8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科/次</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255" w:type="dxa"/>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shd w:val="clear" w:color="auto" w:fill="auto"/>
            <w:noWrap/>
            <w:vAlign w:val="center"/>
          </w:tcPr>
          <w:p>
            <w:pPr>
              <w:keepNext w:val="0"/>
              <w:keepLines w:val="0"/>
              <w:widowControl/>
              <w:suppressLineNumbers w:val="0"/>
              <w:jc w:val="center"/>
              <w:textAlignment w:val="center"/>
              <w:rPr>
                <w:rFonts w:hint="default"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1" w:hRule="atLeast"/>
        </w:trPr>
        <w:tc>
          <w:tcPr>
            <w:tcW w:w="7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6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111000002-3</w:t>
            </w:r>
          </w:p>
        </w:tc>
        <w:tc>
          <w:tcPr>
            <w:tcW w:w="19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主治医师</w:t>
            </w:r>
          </w:p>
        </w:tc>
        <w:tc>
          <w:tcPr>
            <w:tcW w:w="45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主管药师参照执行。</w:t>
            </w:r>
          </w:p>
        </w:tc>
        <w:tc>
          <w:tcPr>
            <w:tcW w:w="8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科/次</w:t>
            </w:r>
          </w:p>
        </w:tc>
        <w:tc>
          <w:tcPr>
            <w:tcW w:w="11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255" w:type="dxa"/>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shd w:val="clear" w:color="auto" w:fill="auto"/>
            <w:noWrap/>
            <w:vAlign w:val="center"/>
          </w:tcPr>
          <w:p>
            <w:pPr>
              <w:keepNext w:val="0"/>
              <w:keepLines w:val="0"/>
              <w:widowControl/>
              <w:suppressLineNumbers w:val="0"/>
              <w:jc w:val="center"/>
              <w:textAlignment w:val="center"/>
              <w:rPr>
                <w:rFonts w:hint="default" w:ascii="方正书宋简体" w:hAnsi="方正书宋简体" w:eastAsia="方正书宋简体" w:cs="方正书宋简体"/>
                <w:i w:val="0"/>
                <w:iCs w:val="0"/>
                <w:color w:val="000000"/>
                <w:sz w:val="18"/>
                <w:szCs w:val="18"/>
                <w:u w:val="none"/>
              </w:rPr>
            </w:pPr>
            <w:r>
              <w:rPr>
                <w:rFonts w:hint="default" w:ascii="方正书宋简体" w:hAnsi="方正书宋简体" w:eastAsia="方正书宋简体" w:cs="方正书宋简体"/>
                <w:i w:val="0"/>
                <w:iCs w:val="0"/>
                <w:color w:val="000000"/>
                <w:kern w:val="0"/>
                <w:sz w:val="18"/>
                <w:szCs w:val="18"/>
                <w:u w:val="none"/>
                <w:lang w:val="en-US" w:eastAsia="zh-CN" w:bidi="ar"/>
              </w:rPr>
              <w:t>0%</w:t>
            </w:r>
          </w:p>
        </w:tc>
      </w:tr>
    </w:tbl>
    <w:p>
      <w:pPr>
        <w:rPr>
          <w:sz w:val="18"/>
          <w:szCs w:val="18"/>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ZmM4NDVmMDFjODk0OGFjMTUwNzA5N2U1MmQyNTcifQ=="/>
  </w:docVars>
  <w:rsids>
    <w:rsidRoot w:val="00000000"/>
    <w:rsid w:val="049327EB"/>
    <w:rsid w:val="06691F53"/>
    <w:rsid w:val="0B8B64C8"/>
    <w:rsid w:val="16BE1E47"/>
    <w:rsid w:val="188744BB"/>
    <w:rsid w:val="1EAC07D7"/>
    <w:rsid w:val="261D0135"/>
    <w:rsid w:val="27D076CD"/>
    <w:rsid w:val="2CAE7A6B"/>
    <w:rsid w:val="2FBE68D3"/>
    <w:rsid w:val="41CA1806"/>
    <w:rsid w:val="46451FB1"/>
    <w:rsid w:val="540C5299"/>
    <w:rsid w:val="60E90E3C"/>
    <w:rsid w:val="61C96577"/>
    <w:rsid w:val="625048C9"/>
    <w:rsid w:val="731B128D"/>
    <w:rsid w:val="75CB3357"/>
    <w:rsid w:val="7CF6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宋体" w:hAnsi="宋体" w:eastAsia="宋体" w:cs="宋体"/>
      <w:color w:val="000000"/>
      <w:sz w:val="21"/>
      <w:szCs w:val="21"/>
      <w:u w:val="none"/>
    </w:rPr>
  </w:style>
  <w:style w:type="character" w:customStyle="1" w:styleId="5">
    <w:name w:val="font61"/>
    <w:basedOn w:val="3"/>
    <w:uiPriority w:val="0"/>
    <w:rPr>
      <w:rFonts w:hint="default" w:ascii="Times New Roman" w:hAnsi="Times New Roman" w:cs="Times New Roman"/>
      <w:color w:val="000000"/>
      <w:sz w:val="21"/>
      <w:szCs w:val="21"/>
      <w:u w:val="none"/>
    </w:rPr>
  </w:style>
  <w:style w:type="character" w:customStyle="1" w:styleId="6">
    <w:name w:val="font112"/>
    <w:basedOn w:val="3"/>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979</Characters>
  <Lines>0</Lines>
  <Paragraphs>0</Paragraphs>
  <TotalTime>5</TotalTime>
  <ScaleCrop>false</ScaleCrop>
  <LinksUpToDate>false</LinksUpToDate>
  <CharactersWithSpaces>1101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2023-10-30T03:28:00Z</dcterms:created>
  <dc:creator>Administrator</dc:creator>
  <cp:lastModifiedBy>WPS_1591349229</cp:lastModifiedBy>
  <dcterms:modified xsi:type="dcterms:W3CDTF">2023-10-30T09:54:59Z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20D3CF1199DC46038AB76EFC39A08FAB_13</vt:lpwstr>
  </property>
</Properties>
</file>